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6D" w:rsidRDefault="006E3B6D" w:rsidP="006E3B6D"/>
    <w:p w:rsidR="006E3B6D" w:rsidRDefault="006E3B6D" w:rsidP="006E3B6D"/>
    <w:p w:rsidR="006E3B6D" w:rsidRDefault="006E3B6D" w:rsidP="006E3B6D">
      <w:pPr>
        <w:sectPr w:rsidR="006E3B6D" w:rsidSect="006E3B6D">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rsidR="004D1A5C" w:rsidRPr="004D1A5C" w:rsidRDefault="00D94A58" w:rsidP="004D1A5C">
      <w:pPr>
        <w:pStyle w:val="berschrift1"/>
      </w:pPr>
      <w:r>
        <w:t>USER REPORT</w:t>
      </w:r>
    </w:p>
    <w:p w:rsidR="006E3B6D" w:rsidRPr="002642D2" w:rsidRDefault="006E3B6D" w:rsidP="006E3B6D"/>
    <w:p w:rsidR="006E3B6D" w:rsidRPr="002642D2" w:rsidRDefault="006E3B6D" w:rsidP="006E3B6D"/>
    <w:p w:rsidR="006E3B6D" w:rsidRPr="002642D2" w:rsidRDefault="006E3B6D" w:rsidP="006E3B6D"/>
    <w:p w:rsidR="006E3B6D" w:rsidRPr="002642D2" w:rsidRDefault="006E3B6D" w:rsidP="006E3B6D"/>
    <w:p w:rsidR="00814087" w:rsidRDefault="00F327EF" w:rsidP="00214A38">
      <w:pPr>
        <w:pStyle w:val="berschrift2"/>
        <w:spacing w:line="360" w:lineRule="auto"/>
        <w:rPr>
          <w:iCs w:val="0"/>
          <w:color w:val="auto"/>
          <w:sz w:val="20"/>
          <w:szCs w:val="26"/>
        </w:rPr>
      </w:pPr>
      <w:r>
        <w:rPr>
          <w:color w:val="auto"/>
          <w:sz w:val="20"/>
        </w:rPr>
        <w:t>Fronius battery charging technology reduces intralogistics energy consumption at AMAG Austria Metall</w:t>
      </w:r>
    </w:p>
    <w:p w:rsidR="006E3B6D" w:rsidRDefault="00F327EF" w:rsidP="00214A38">
      <w:pPr>
        <w:pStyle w:val="berschrift2"/>
        <w:spacing w:line="360" w:lineRule="auto"/>
      </w:pPr>
      <w:r>
        <w:t>Efficient charging across all weight categories</w:t>
      </w:r>
    </w:p>
    <w:p w:rsidR="00814087" w:rsidRPr="002642D2" w:rsidRDefault="00814087" w:rsidP="00214A38">
      <w:pPr>
        <w:spacing w:line="360" w:lineRule="auto"/>
      </w:pPr>
    </w:p>
    <w:p w:rsidR="00AA2155" w:rsidRPr="00B030E5" w:rsidRDefault="002014EE" w:rsidP="00214A38">
      <w:pPr>
        <w:spacing w:line="360" w:lineRule="auto"/>
        <w:rPr>
          <w:rStyle w:val="Fett"/>
          <w:rFonts w:cs="Arial"/>
        </w:rPr>
      </w:pPr>
      <w:r>
        <w:rPr>
          <w:rStyle w:val="Fett"/>
        </w:rPr>
        <w:t>Wels, DD/MM/2015 – AMAG Austria Metall GmbH, Austria’s largest aluminium smelter, uses electrically powered forklift trucks to handle the internal flow of materials at its production site in Ranshofen. The largest trucks have a load capacity of twelve tonnes, which enables them to transport the huge aluminium plates. To reduce the electricity consumption of the fleet and comply with the latest energy efficiency legislation, the company opted for innovative battery charging systems from Fronius. These systems significantly reduce energy consumption and CO</w:t>
      </w:r>
      <w:r>
        <w:rPr>
          <w:rStyle w:val="Fett"/>
          <w:vertAlign w:val="subscript"/>
        </w:rPr>
        <w:t xml:space="preserve">2 </w:t>
      </w:r>
      <w:r>
        <w:rPr>
          <w:rStyle w:val="Fett"/>
        </w:rPr>
        <w:t>emissions and also extend the service life of the expensive batteries.</w:t>
      </w:r>
    </w:p>
    <w:p w:rsidR="006E3B6D" w:rsidRDefault="006E3B6D" w:rsidP="00214A38">
      <w:pPr>
        <w:spacing w:line="360" w:lineRule="auto"/>
      </w:pPr>
    </w:p>
    <w:p w:rsidR="00DD5EE1" w:rsidRDefault="00DD5EE1" w:rsidP="00214A38">
      <w:pPr>
        <w:spacing w:line="360" w:lineRule="auto"/>
      </w:pPr>
      <w:r>
        <w:t>The new energy efficiency legislation is currently a hot topic in every sector of industry. Since 2015, companies across Europe have been obliged to demonstrate that they are implementing specific measures to reduce their electricity consumption – either by carrying out regular audits or by introducing an energy management system. The objective is clear: becoming more efficient means increased competitiveness, which in turn protects the future of Europe as a manufacturing powerhouse. The environment benefits too, as the carbon footprint of the companies becomes smaller. However, the question that arises for the management teams, who generally speaking have already been working in a cost-conscious and sustainable manner for some time, is “how can I save even more energy?”</w:t>
      </w:r>
    </w:p>
    <w:p w:rsidR="000910BB" w:rsidRPr="000910BB" w:rsidRDefault="00B030E5" w:rsidP="00214A38">
      <w:pPr>
        <w:pStyle w:val="berschrift3"/>
        <w:spacing w:line="360" w:lineRule="auto"/>
      </w:pPr>
      <w:r>
        <w:t>Energy management reduces consumption</w:t>
      </w:r>
    </w:p>
    <w:p w:rsidR="007B3E82" w:rsidRDefault="007B3E82" w:rsidP="00214A38">
      <w:pPr>
        <w:spacing w:line="360" w:lineRule="auto"/>
      </w:pPr>
      <w:r>
        <w:t>“We use around 184 gigawatt hours of electricity a year,” notes Dr. Florian Stadler, head of energy management at AMAG Austria Metall GmbH. The company is Austria's largest aluminium smelter and a manufacturer of premium quality rolled flat products, high-precision cast plates and recycling cast alloys, all of which are manufactured at its plant in Ranshofen, Upper Austria, which also has a foundry and a rolling mill. Among the sectors using the finished products are the automotive industry, aerospace and shipbuilding, machine and plant construction, architecture, electronics and sports equipment.</w:t>
      </w:r>
    </w:p>
    <w:p w:rsidR="00D15044" w:rsidRDefault="00D15044" w:rsidP="00214A38">
      <w:pPr>
        <w:spacing w:line="360" w:lineRule="auto"/>
      </w:pPr>
    </w:p>
    <w:p w:rsidR="00F47A79" w:rsidRDefault="00282337" w:rsidP="00214A38">
      <w:pPr>
        <w:spacing w:line="360" w:lineRule="auto"/>
      </w:pPr>
      <w:r>
        <w:t xml:space="preserve">To reduce its energy consumption as far as possible, AMAG operates an energy management system that is integrated into the company’s management system and is the responsibility of a dedicated department. “Our role is to take a critical look at our existing processes with a view to potential savings and to promote projects to </w:t>
      </w:r>
      <w:r>
        <w:lastRenderedPageBreak/>
        <w:t>improve our energy performance,” Stadler describes its brief. The company had its energy management system audited for the first time in 2013 and is now certified to the EU standard ISO 50001.</w:t>
      </w:r>
    </w:p>
    <w:p w:rsidR="00441DA9" w:rsidRDefault="00B030E5" w:rsidP="00214A38">
      <w:pPr>
        <w:pStyle w:val="berschrift3"/>
        <w:spacing w:line="360" w:lineRule="auto"/>
      </w:pPr>
      <w:r>
        <w:t>Plenty to do for the electric forklift truck fleet</w:t>
      </w:r>
    </w:p>
    <w:p w:rsidR="001C558C" w:rsidRDefault="00282337" w:rsidP="00214A38">
      <w:pPr>
        <w:spacing w:line="360" w:lineRule="auto"/>
      </w:pPr>
      <w:r>
        <w:t>The intralogistics operation at AMAG is modern and efficient: more than 150 electrically powered forklift trucks – from cleaning machines to lifting platforms, forklift trucks and tractor units through to heavy-duty frontlifts with load capacities of 12 tonnes – ensure a quiet, emission-free, speedy and reliable flow of materials. The fact that the plant operates 24 hours a day places severe demands on the performance and availability of load handling equipment. To avoid long downtimes, forklift trucks and tractor units in particular are equipped with back-up batteries: “When the capacity of a battery starts to get low, the driver goes to one of the many central charging stations, where he can replace it with a new one in a matter of minutes,” explains Stadler. The largest traction batteries, such as those used in the Hubtex lateral stacking trucks/sideloaders, weigh several tonnes and have to be transported using an indoor crane. With a nominal voltage of 80 volts and capacities of up to 1,000 ampere hours, they provide the energy required to lift and move the huge aluminium plates.</w:t>
      </w:r>
    </w:p>
    <w:p w:rsidR="00CA7575" w:rsidRPr="00CA7575" w:rsidRDefault="00CA7575" w:rsidP="00214A38">
      <w:pPr>
        <w:spacing w:line="360" w:lineRule="auto"/>
      </w:pPr>
    </w:p>
    <w:p w:rsidR="00F261E6" w:rsidRDefault="00B030E5" w:rsidP="00214A38">
      <w:pPr>
        <w:pStyle w:val="berschrift3"/>
        <w:spacing w:line="360" w:lineRule="auto"/>
      </w:pPr>
      <w:r>
        <w:t>New charging process improves efficiency</w:t>
      </w:r>
    </w:p>
    <w:p w:rsidR="00450D8B" w:rsidRDefault="00450D8B" w:rsidP="00214A38">
      <w:pPr>
        <w:spacing w:line="360" w:lineRule="auto"/>
      </w:pPr>
      <w:r>
        <w:t>The charging of the numerous traction batteries and the associated electricity consumption represents a not inconsiderable cost factor – a good enough reason for Florian Stadler and his team to examine the charging process very closely. It was while looking for optimisation potential that the managers at AMAG discovered Fronius battery charging systems. The technology leader is an Austrian company with headquarters in Pettenbach and has developed a new generation of chargers based around its innovative Ri charging process. With total efficiency levels of up to 84 percent, the chargers are considerably more efficient than conventional solutions and their gentle charging also extends the service life of the expensive traction batteries.</w:t>
      </w:r>
    </w:p>
    <w:p w:rsidR="00450D8B" w:rsidRDefault="00450D8B" w:rsidP="00214A38">
      <w:pPr>
        <w:spacing w:line="360" w:lineRule="auto"/>
      </w:pPr>
    </w:p>
    <w:p w:rsidR="00B030E5" w:rsidRDefault="00261680" w:rsidP="00214A38">
      <w:pPr>
        <w:spacing w:line="360" w:lineRule="auto"/>
      </w:pPr>
      <w:r>
        <w:t>“The Ri charging process adapts itself to the age, temperature and state of charge of the individual battery,” explains Leopold Grammerstätter, technical consultant for battery charging systems at Fronius. “The losses at the start of charging and during the recharging phase are therefore much lower than with other charging technologies.” This lowers energy consumption, and hence costs, as well as reducing CO</w:t>
      </w:r>
      <w:r>
        <w:rPr>
          <w:vertAlign w:val="subscript"/>
        </w:rPr>
        <w:t xml:space="preserve">2 </w:t>
      </w:r>
      <w:r>
        <w:t>emissions. The whole process is much gentler, as the battery does not heat up as much while it is being charged. “This means that the battery lasts longer and does not have to be replaced as frequently – another cost benefit,” observes Grammerstätter.</w:t>
      </w:r>
    </w:p>
    <w:p w:rsidR="00B030E5" w:rsidRDefault="00B030E5" w:rsidP="00214A38">
      <w:pPr>
        <w:spacing w:line="360" w:lineRule="auto"/>
      </w:pPr>
    </w:p>
    <w:p w:rsidR="00814087" w:rsidRPr="00537E98" w:rsidRDefault="00537E98" w:rsidP="00214A38">
      <w:pPr>
        <w:spacing w:line="360" w:lineRule="auto"/>
      </w:pPr>
      <w:r>
        <w:t>Fronius used the I-SPoT lifecycle costs calculator to determine the potential savings available to AMAG – with remarkable results: “We discovered that by using our chargers, the company can save more than 600,000 kilowatt hours of electricity a year,” reports Grammerstätter. “The indirect CO</w:t>
      </w:r>
      <w:r>
        <w:rPr>
          <w:vertAlign w:val="subscript"/>
        </w:rPr>
        <w:t xml:space="preserve">2 </w:t>
      </w:r>
      <w:r>
        <w:t>emissions could be reduced by around 150,000 kilograms each year.” These compelling arguments clinched the deal: in 2014, Fronius supplied the first 20 Selectiva battery charging systems to AMAG via its sales partner Banner, and another 20 followed in 2015.</w:t>
      </w:r>
    </w:p>
    <w:p w:rsidR="00814087" w:rsidRPr="00814087" w:rsidRDefault="00B030E5" w:rsidP="00214A38">
      <w:pPr>
        <w:pStyle w:val="berschrift3"/>
        <w:spacing w:line="360" w:lineRule="auto"/>
      </w:pPr>
      <w:r>
        <w:lastRenderedPageBreak/>
        <w:t>Photovoltaics and battery charging technology from a single source</w:t>
      </w:r>
    </w:p>
    <w:p w:rsidR="00537E98" w:rsidRPr="0047666F" w:rsidRDefault="00537E98" w:rsidP="00214A38">
      <w:pPr>
        <w:spacing w:line="360" w:lineRule="auto"/>
      </w:pPr>
      <w:r>
        <w:t>The company made another investment back in 2013 with the aim of providing its intralogistics operation with low cost, sustainable levels of electricity: a photovoltaic system with an output of 40.8kWp was installed on a vacant plot on the company’s site. The four inverters, which since then have been generating environmentally friendly solar power, are also from Fronius. “Our long-term objective is a CO</w:t>
      </w:r>
      <w:r>
        <w:rPr>
          <w:vertAlign w:val="subscript"/>
        </w:rPr>
        <w:t>2</w:t>
      </w:r>
      <w:r>
        <w:t>-neutral flow of materials,” explains Florian Stadler. “Although the solar power we are generating does not flow directly to the charging stations, we can feed it locally to our distributor and use it on site.”</w:t>
      </w:r>
    </w:p>
    <w:p w:rsidR="00537E98" w:rsidRDefault="00537E98" w:rsidP="00214A38">
      <w:pPr>
        <w:spacing w:line="360" w:lineRule="auto"/>
      </w:pPr>
    </w:p>
    <w:p w:rsidR="0047666F" w:rsidRPr="0047666F" w:rsidRDefault="0047666F" w:rsidP="00214A38">
      <w:pPr>
        <w:spacing w:line="360" w:lineRule="auto"/>
      </w:pPr>
      <w:r>
        <w:t>The head of energy management is totally satisfied with the Fronius solution. His conclusion is that “the devices offer the most advanced technology on the market and help us achieve considerable savings – both in terms of electricity consumption and our carbon footprint”. The devices are thus an important factor as far as compliance with the stringent energy efficiency legislation is concerned. “At the same time they ensure that our forklift trucks are always available, even when working under such difficult conditions.” The new chargers have significantly improved the performance of the heavily worked traction batteries.</w:t>
      </w:r>
    </w:p>
    <w:p w:rsidR="009C4C15" w:rsidRDefault="009C4C15" w:rsidP="006E3B6D"/>
    <w:p w:rsidR="00317F40" w:rsidRDefault="00317F40" w:rsidP="006E3B6D"/>
    <w:p w:rsidR="00214A38" w:rsidRDefault="009622CA">
      <w:r>
        <w:t>Characters: 7,</w:t>
      </w:r>
      <w:r w:rsidR="009966A9">
        <w:t>183</w:t>
      </w:r>
      <w:r>
        <w:t xml:space="preserve"> (incl. spaces)</w:t>
      </w:r>
    </w:p>
    <w:p w:rsidR="00214A38" w:rsidRDefault="00214A38" w:rsidP="009C25EB">
      <w:pPr>
        <w:rPr>
          <w:b/>
        </w:rPr>
      </w:pPr>
    </w:p>
    <w:p w:rsidR="00214A38" w:rsidRDefault="00214A38" w:rsidP="009C25EB">
      <w:pPr>
        <w:rPr>
          <w:b/>
        </w:rPr>
      </w:pPr>
    </w:p>
    <w:p w:rsidR="00214A38" w:rsidRDefault="00214A38" w:rsidP="009C25EB">
      <w:pPr>
        <w:rPr>
          <w:b/>
        </w:rPr>
      </w:pPr>
    </w:p>
    <w:p w:rsidR="00E55635" w:rsidRPr="00214A38" w:rsidRDefault="00214A38" w:rsidP="009C25EB">
      <w:pPr>
        <w:rPr>
          <w:b/>
        </w:rPr>
      </w:pPr>
      <w:r>
        <w:rPr>
          <w:b/>
        </w:rPr>
        <w:t>Image captions:</w:t>
      </w:r>
    </w:p>
    <w:p w:rsidR="00E55635" w:rsidRDefault="00E55635" w:rsidP="009C25EB"/>
    <w:tbl>
      <w:tblPr>
        <w:tblW w:w="10223" w:type="dxa"/>
        <w:jc w:val="center"/>
        <w:tblLook w:val="01E0" w:firstRow="1" w:lastRow="1" w:firstColumn="1" w:lastColumn="1" w:noHBand="0" w:noVBand="0"/>
      </w:tblPr>
      <w:tblGrid>
        <w:gridCol w:w="2890"/>
        <w:gridCol w:w="7333"/>
      </w:tblGrid>
      <w:tr w:rsidR="00E55635" w:rsidRPr="00214A38" w:rsidTr="00214A38">
        <w:trPr>
          <w:trHeight w:val="1216"/>
          <w:jc w:val="center"/>
        </w:trPr>
        <w:tc>
          <w:tcPr>
            <w:tcW w:w="2890" w:type="dxa"/>
          </w:tcPr>
          <w:p w:rsidR="00E55635" w:rsidRDefault="00214A38" w:rsidP="00214A38">
            <w:pPr>
              <w:spacing w:line="360" w:lineRule="auto"/>
              <w:rPr>
                <w:rFonts w:cs="Arial"/>
                <w:szCs w:val="20"/>
              </w:rPr>
            </w:pPr>
            <w:r>
              <w:rPr>
                <w:rFonts w:cs="Arial"/>
                <w:noProof/>
                <w:szCs w:val="20"/>
                <w:lang w:val="de-DE" w:eastAsia="de-DE" w:bidi="ar-SA"/>
              </w:rPr>
              <w:drawing>
                <wp:inline distT="0" distB="0" distL="0" distR="0">
                  <wp:extent cx="1620000" cy="1080000"/>
                  <wp:effectExtent l="19050" t="0" r="0" b="0"/>
                  <wp:docPr id="1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AW_REP_QUEHENBERGER_ENNS_1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620000" cy="1080000"/>
                          </a:xfrm>
                          <a:prstGeom prst="rect">
                            <a:avLst/>
                          </a:prstGeom>
                          <a:noFill/>
                          <a:ln>
                            <a:noFill/>
                          </a:ln>
                        </pic:spPr>
                      </pic:pic>
                    </a:graphicData>
                  </a:graphic>
                </wp:inline>
              </w:drawing>
            </w:r>
          </w:p>
          <w:p w:rsidR="00214A38" w:rsidRPr="00C26AF7" w:rsidRDefault="00214A38" w:rsidP="00214A38">
            <w:pPr>
              <w:spacing w:line="360" w:lineRule="auto"/>
              <w:rPr>
                <w:rFonts w:cs="Arial"/>
                <w:szCs w:val="20"/>
              </w:rPr>
            </w:pPr>
          </w:p>
        </w:tc>
        <w:tc>
          <w:tcPr>
            <w:tcW w:w="7333" w:type="dxa"/>
          </w:tcPr>
          <w:p w:rsidR="00E55635" w:rsidRDefault="00214A38" w:rsidP="00A94489">
            <w:pPr>
              <w:keepNext/>
              <w:spacing w:line="360" w:lineRule="auto"/>
              <w:outlineLvl w:val="2"/>
              <w:rPr>
                <w:rFonts w:cs="Arial"/>
                <w:szCs w:val="20"/>
              </w:rPr>
            </w:pPr>
            <w:r>
              <w:t>Figure 1: AMAG Austria Metall GmbH is the largest aluminium smelter in Austria and a premium manufacturer of rolled flat products, high-precision cast plates and recycling cast alloys.</w:t>
            </w:r>
          </w:p>
          <w:p w:rsidR="00E55635" w:rsidRPr="00E34C75" w:rsidRDefault="00E55635" w:rsidP="00214A38">
            <w:pPr>
              <w:keepNext/>
              <w:spacing w:line="360" w:lineRule="auto"/>
              <w:outlineLvl w:val="2"/>
              <w:rPr>
                <w:rFonts w:cs="Arial"/>
                <w:szCs w:val="20"/>
              </w:rPr>
            </w:pPr>
          </w:p>
        </w:tc>
      </w:tr>
      <w:tr w:rsidR="00E55635" w:rsidRPr="00B34969" w:rsidTr="00214A38">
        <w:trPr>
          <w:trHeight w:val="1243"/>
          <w:jc w:val="center"/>
        </w:trPr>
        <w:tc>
          <w:tcPr>
            <w:tcW w:w="2890" w:type="dxa"/>
          </w:tcPr>
          <w:p w:rsidR="00E55635" w:rsidRDefault="00E55635" w:rsidP="00A94489">
            <w:pPr>
              <w:spacing w:line="360" w:lineRule="auto"/>
              <w:rPr>
                <w:rFonts w:cs="Arial"/>
                <w:szCs w:val="20"/>
              </w:rPr>
            </w:pPr>
            <w:r>
              <w:rPr>
                <w:rFonts w:cs="Arial"/>
                <w:noProof/>
                <w:szCs w:val="20"/>
                <w:lang w:val="de-DE" w:eastAsia="de-DE" w:bidi="ar-SA"/>
              </w:rPr>
              <w:drawing>
                <wp:inline distT="0" distB="0" distL="0" distR="0">
                  <wp:extent cx="1620000" cy="850839"/>
                  <wp:effectExtent l="1905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24small"/>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20000" cy="850839"/>
                          </a:xfrm>
                          <a:prstGeom prst="rect">
                            <a:avLst/>
                          </a:prstGeom>
                          <a:noFill/>
                          <a:ln>
                            <a:noFill/>
                          </a:ln>
                        </pic:spPr>
                      </pic:pic>
                    </a:graphicData>
                  </a:graphic>
                </wp:inline>
              </w:drawing>
            </w:r>
          </w:p>
          <w:p w:rsidR="00214A38" w:rsidRPr="002642D2" w:rsidRDefault="00214A38" w:rsidP="00A94489">
            <w:pPr>
              <w:spacing w:line="360" w:lineRule="auto"/>
              <w:rPr>
                <w:rFonts w:cs="Arial"/>
                <w:szCs w:val="20"/>
              </w:rPr>
            </w:pPr>
          </w:p>
        </w:tc>
        <w:tc>
          <w:tcPr>
            <w:tcW w:w="7333" w:type="dxa"/>
          </w:tcPr>
          <w:p w:rsidR="00E55635" w:rsidRDefault="00214A38" w:rsidP="00A94489">
            <w:pPr>
              <w:keepNext/>
              <w:spacing w:line="360" w:lineRule="auto"/>
              <w:outlineLvl w:val="2"/>
              <w:rPr>
                <w:rFonts w:cs="Arial"/>
                <w:b/>
                <w:bCs/>
                <w:szCs w:val="20"/>
              </w:rPr>
            </w:pPr>
            <w:r>
              <w:t>Figure 2: Projects to improve efficiency are commonplace in sectors with high levels of energy consumption, such as the aluminium industry. AMAG installed a photovoltaic system on its site back in 2013.</w:t>
            </w:r>
          </w:p>
          <w:p w:rsidR="00E55635" w:rsidRPr="00874EC0" w:rsidRDefault="00E55635" w:rsidP="00A94489">
            <w:pPr>
              <w:spacing w:after="60" w:line="360" w:lineRule="auto"/>
            </w:pPr>
          </w:p>
        </w:tc>
      </w:tr>
      <w:tr w:rsidR="00E55635" w:rsidRPr="00214A38" w:rsidTr="00214A38">
        <w:trPr>
          <w:trHeight w:val="1243"/>
          <w:jc w:val="center"/>
        </w:trPr>
        <w:tc>
          <w:tcPr>
            <w:tcW w:w="2890" w:type="dxa"/>
          </w:tcPr>
          <w:p w:rsidR="00E55635" w:rsidRDefault="00E55635" w:rsidP="00A94489">
            <w:pPr>
              <w:spacing w:line="360" w:lineRule="auto"/>
              <w:rPr>
                <w:rFonts w:cs="Arial"/>
                <w:szCs w:val="20"/>
              </w:rPr>
            </w:pPr>
            <w:r>
              <w:rPr>
                <w:rFonts w:cs="Arial"/>
                <w:noProof/>
                <w:szCs w:val="20"/>
                <w:lang w:val="de-DE" w:eastAsia="de-DE" w:bidi="ar-SA"/>
              </w:rPr>
              <w:drawing>
                <wp:inline distT="0" distB="0" distL="0" distR="0">
                  <wp:extent cx="1620000" cy="1078531"/>
                  <wp:effectExtent l="1905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_AW_REP_QUEHENBERGER_ENNS_1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20000" cy="1078531"/>
                          </a:xfrm>
                          <a:prstGeom prst="rect">
                            <a:avLst/>
                          </a:prstGeom>
                          <a:noFill/>
                          <a:ln>
                            <a:noFill/>
                          </a:ln>
                        </pic:spPr>
                      </pic:pic>
                    </a:graphicData>
                  </a:graphic>
                </wp:inline>
              </w:drawing>
            </w:r>
          </w:p>
          <w:p w:rsidR="00214A38" w:rsidRPr="002642D2" w:rsidRDefault="00214A38" w:rsidP="00A94489">
            <w:pPr>
              <w:spacing w:line="360" w:lineRule="auto"/>
              <w:rPr>
                <w:rFonts w:cs="Arial"/>
                <w:szCs w:val="20"/>
              </w:rPr>
            </w:pPr>
          </w:p>
        </w:tc>
        <w:tc>
          <w:tcPr>
            <w:tcW w:w="7333" w:type="dxa"/>
          </w:tcPr>
          <w:p w:rsidR="00E55635" w:rsidRDefault="00214A38" w:rsidP="00A94489">
            <w:pPr>
              <w:keepNext/>
              <w:spacing w:line="360" w:lineRule="auto"/>
              <w:outlineLvl w:val="2"/>
              <w:rPr>
                <w:rFonts w:cs="Arial"/>
                <w:b/>
                <w:bCs/>
                <w:szCs w:val="20"/>
              </w:rPr>
            </w:pPr>
            <w:r>
              <w:t>Figure 3: The four inverters, which since then have been generating environmentally friendly solar power, are from technology leader Fronius.</w:t>
            </w:r>
          </w:p>
          <w:p w:rsidR="00E55635" w:rsidRPr="00874EC0" w:rsidRDefault="00E55635" w:rsidP="00214A38">
            <w:pPr>
              <w:keepNext/>
              <w:spacing w:line="360" w:lineRule="auto"/>
              <w:outlineLvl w:val="2"/>
            </w:pPr>
          </w:p>
        </w:tc>
      </w:tr>
      <w:tr w:rsidR="00E55635" w:rsidRPr="00214A38" w:rsidTr="00214A38">
        <w:trPr>
          <w:trHeight w:val="1243"/>
          <w:jc w:val="center"/>
        </w:trPr>
        <w:tc>
          <w:tcPr>
            <w:tcW w:w="2890" w:type="dxa"/>
          </w:tcPr>
          <w:p w:rsidR="00E55635" w:rsidRDefault="00E55635" w:rsidP="00A94489">
            <w:pPr>
              <w:spacing w:line="360" w:lineRule="auto"/>
              <w:rPr>
                <w:rFonts w:cs="Arial"/>
                <w:noProof/>
                <w:szCs w:val="20"/>
              </w:rPr>
            </w:pPr>
            <w:r>
              <w:rPr>
                <w:rFonts w:cs="Arial"/>
                <w:noProof/>
                <w:szCs w:val="20"/>
                <w:lang w:val="de-DE" w:eastAsia="de-DE" w:bidi="ar-SA"/>
              </w:rPr>
              <w:lastRenderedPageBreak/>
              <w:drawing>
                <wp:inline distT="0" distB="0" distL="0" distR="0">
                  <wp:extent cx="1620000" cy="1088607"/>
                  <wp:effectExtent l="1905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027small"/>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620000" cy="1088607"/>
                          </a:xfrm>
                          <a:prstGeom prst="rect">
                            <a:avLst/>
                          </a:prstGeom>
                          <a:noFill/>
                          <a:ln>
                            <a:noFill/>
                          </a:ln>
                        </pic:spPr>
                      </pic:pic>
                    </a:graphicData>
                  </a:graphic>
                </wp:inline>
              </w:drawing>
            </w:r>
          </w:p>
          <w:p w:rsidR="00214A38" w:rsidRPr="00874EC0" w:rsidRDefault="00214A38" w:rsidP="00A94489">
            <w:pPr>
              <w:spacing w:line="360" w:lineRule="auto"/>
              <w:rPr>
                <w:rFonts w:cs="Arial"/>
                <w:noProof/>
                <w:szCs w:val="20"/>
              </w:rPr>
            </w:pPr>
          </w:p>
        </w:tc>
        <w:tc>
          <w:tcPr>
            <w:tcW w:w="7333" w:type="dxa"/>
          </w:tcPr>
          <w:p w:rsidR="00E55635" w:rsidRPr="00874EC0" w:rsidRDefault="00214A38" w:rsidP="00A94489">
            <w:pPr>
              <w:spacing w:line="360" w:lineRule="auto"/>
            </w:pPr>
            <w:r>
              <w:t>Figure 4: More than 150 electrically powered forklifts – from forklift trucks to heavy-duty frontlifts – provide AMAG with a quiet, emission-free, speedy and reliable flow of materials.</w:t>
            </w:r>
          </w:p>
          <w:p w:rsidR="00E55635" w:rsidRPr="00874EC0" w:rsidRDefault="00E55635" w:rsidP="00214A38">
            <w:pPr>
              <w:keepNext/>
              <w:spacing w:line="360" w:lineRule="auto"/>
              <w:outlineLvl w:val="2"/>
            </w:pPr>
          </w:p>
        </w:tc>
      </w:tr>
      <w:tr w:rsidR="00E55635" w:rsidRPr="00214A38" w:rsidTr="00214A38">
        <w:trPr>
          <w:trHeight w:val="1243"/>
          <w:jc w:val="center"/>
        </w:trPr>
        <w:tc>
          <w:tcPr>
            <w:tcW w:w="2890" w:type="dxa"/>
          </w:tcPr>
          <w:p w:rsidR="00E55635" w:rsidRDefault="00E55635" w:rsidP="00A94489">
            <w:pPr>
              <w:spacing w:line="360" w:lineRule="auto"/>
              <w:rPr>
                <w:rFonts w:cs="Arial"/>
                <w:noProof/>
                <w:szCs w:val="20"/>
              </w:rPr>
            </w:pPr>
            <w:r>
              <w:rPr>
                <w:rFonts w:cs="Arial"/>
                <w:noProof/>
                <w:szCs w:val="20"/>
                <w:lang w:val="de-DE" w:eastAsia="de-DE" w:bidi="ar-SA"/>
              </w:rPr>
              <w:drawing>
                <wp:inline distT="0" distB="0" distL="0" distR="0">
                  <wp:extent cx="1620000" cy="1083577"/>
                  <wp:effectExtent l="1905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025small"/>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620000" cy="1083577"/>
                          </a:xfrm>
                          <a:prstGeom prst="rect">
                            <a:avLst/>
                          </a:prstGeom>
                          <a:noFill/>
                          <a:ln>
                            <a:noFill/>
                          </a:ln>
                        </pic:spPr>
                      </pic:pic>
                    </a:graphicData>
                  </a:graphic>
                </wp:inline>
              </w:drawing>
            </w:r>
          </w:p>
          <w:p w:rsidR="00214A38" w:rsidRPr="00874EC0" w:rsidRDefault="00214A38" w:rsidP="00A94489">
            <w:pPr>
              <w:spacing w:line="360" w:lineRule="auto"/>
              <w:rPr>
                <w:rFonts w:cs="Arial"/>
                <w:noProof/>
                <w:szCs w:val="20"/>
              </w:rPr>
            </w:pPr>
          </w:p>
        </w:tc>
        <w:tc>
          <w:tcPr>
            <w:tcW w:w="7333" w:type="dxa"/>
          </w:tcPr>
          <w:p w:rsidR="00E55635" w:rsidRDefault="00214A38" w:rsidP="00A94489">
            <w:pPr>
              <w:spacing w:line="360" w:lineRule="auto"/>
            </w:pPr>
            <w:r>
              <w:t>Figure 5: Hubtex heavy-duty frontlifts are used to lift and move the huge aluminium plates.</w:t>
            </w:r>
          </w:p>
          <w:p w:rsidR="00E55635" w:rsidRPr="00874EC0" w:rsidRDefault="00E55635" w:rsidP="00214A38">
            <w:pPr>
              <w:spacing w:line="360" w:lineRule="auto"/>
            </w:pPr>
          </w:p>
        </w:tc>
      </w:tr>
      <w:tr w:rsidR="00E55635" w:rsidRPr="00214A38" w:rsidTr="00214A38">
        <w:trPr>
          <w:trHeight w:val="1243"/>
          <w:jc w:val="center"/>
        </w:trPr>
        <w:tc>
          <w:tcPr>
            <w:tcW w:w="2890" w:type="dxa"/>
          </w:tcPr>
          <w:p w:rsidR="00E55635" w:rsidRDefault="00E55635" w:rsidP="00A94489">
            <w:pPr>
              <w:spacing w:line="360" w:lineRule="auto"/>
              <w:rPr>
                <w:rFonts w:cs="Arial"/>
                <w:noProof/>
                <w:szCs w:val="20"/>
              </w:rPr>
            </w:pPr>
            <w:r>
              <w:rPr>
                <w:rFonts w:cs="Arial"/>
                <w:noProof/>
                <w:szCs w:val="20"/>
                <w:lang w:val="de-DE" w:eastAsia="de-DE" w:bidi="ar-SA"/>
              </w:rPr>
              <w:drawing>
                <wp:inline distT="0" distB="0" distL="0" distR="0">
                  <wp:extent cx="1110615" cy="166592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_AW_REP_QUEHENBERGER_ENNS_0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110615" cy="1665922"/>
                          </a:xfrm>
                          <a:prstGeom prst="rect">
                            <a:avLst/>
                          </a:prstGeom>
                          <a:noFill/>
                          <a:ln>
                            <a:noFill/>
                          </a:ln>
                        </pic:spPr>
                      </pic:pic>
                    </a:graphicData>
                  </a:graphic>
                </wp:inline>
              </w:drawing>
            </w:r>
          </w:p>
          <w:p w:rsidR="00D734D4" w:rsidRPr="00A80A01" w:rsidRDefault="00D734D4" w:rsidP="00A94489">
            <w:pPr>
              <w:spacing w:line="360" w:lineRule="auto"/>
              <w:rPr>
                <w:rFonts w:cs="Arial"/>
                <w:noProof/>
                <w:szCs w:val="20"/>
              </w:rPr>
            </w:pPr>
            <w:bookmarkStart w:id="0" w:name="_GoBack"/>
            <w:bookmarkEnd w:id="0"/>
          </w:p>
        </w:tc>
        <w:tc>
          <w:tcPr>
            <w:tcW w:w="7333" w:type="dxa"/>
          </w:tcPr>
          <w:p w:rsidR="00E55635" w:rsidRDefault="00214A38" w:rsidP="00A94489">
            <w:pPr>
              <w:spacing w:line="360" w:lineRule="auto"/>
              <w:rPr>
                <w:b/>
              </w:rPr>
            </w:pPr>
            <w:r>
              <w:t>Figure 6: Innovative battery charging technology from Fronius enables AMAG to save more than 500,000 kWh of electricity a year.</w:t>
            </w:r>
          </w:p>
          <w:p w:rsidR="00E55635" w:rsidRPr="00874EC0" w:rsidRDefault="00E55635" w:rsidP="00214A38">
            <w:pPr>
              <w:spacing w:line="360" w:lineRule="auto"/>
            </w:pPr>
          </w:p>
        </w:tc>
      </w:tr>
      <w:tr w:rsidR="00E55635" w:rsidRPr="00214A38" w:rsidTr="00214A38">
        <w:trPr>
          <w:trHeight w:val="1243"/>
          <w:jc w:val="center"/>
        </w:trPr>
        <w:tc>
          <w:tcPr>
            <w:tcW w:w="2890" w:type="dxa"/>
          </w:tcPr>
          <w:p w:rsidR="00E55635" w:rsidRDefault="00E55635" w:rsidP="00A94489">
            <w:pPr>
              <w:spacing w:line="360" w:lineRule="auto"/>
              <w:rPr>
                <w:rFonts w:cs="Arial"/>
                <w:noProof/>
                <w:szCs w:val="20"/>
              </w:rPr>
            </w:pPr>
            <w:r>
              <w:rPr>
                <w:rFonts w:cs="Arial"/>
                <w:noProof/>
                <w:szCs w:val="20"/>
                <w:lang w:val="de-DE" w:eastAsia="de-DE" w:bidi="ar-SA"/>
              </w:rPr>
              <w:drawing>
                <wp:inline distT="0" distB="0" distL="0" distR="0">
                  <wp:extent cx="1620000" cy="1080000"/>
                  <wp:effectExtent l="1905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_AW_REP_QUEHENBERGER_ENNS_09"/>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0" cy="1080000"/>
                          </a:xfrm>
                          <a:prstGeom prst="rect">
                            <a:avLst/>
                          </a:prstGeom>
                          <a:noFill/>
                          <a:ln>
                            <a:noFill/>
                          </a:ln>
                        </pic:spPr>
                      </pic:pic>
                    </a:graphicData>
                  </a:graphic>
                </wp:inline>
              </w:drawing>
            </w:r>
          </w:p>
          <w:p w:rsidR="00214A38" w:rsidRPr="00A80A01" w:rsidRDefault="00214A38" w:rsidP="00A94489">
            <w:pPr>
              <w:spacing w:line="360" w:lineRule="auto"/>
              <w:rPr>
                <w:rFonts w:cs="Arial"/>
                <w:noProof/>
                <w:szCs w:val="20"/>
              </w:rPr>
            </w:pPr>
          </w:p>
        </w:tc>
        <w:tc>
          <w:tcPr>
            <w:tcW w:w="7333" w:type="dxa"/>
          </w:tcPr>
          <w:p w:rsidR="00E55635" w:rsidRDefault="00214A38" w:rsidP="00A94489">
            <w:pPr>
              <w:spacing w:line="360" w:lineRule="auto"/>
              <w:rPr>
                <w:b/>
              </w:rPr>
            </w:pPr>
            <w:r>
              <w:t>Figure 7: The largest traction batteries weigh several tonnes, have a nominal voltage of 80 V and capacities of up to 1,000 Ah.</w:t>
            </w:r>
          </w:p>
          <w:p w:rsidR="00E55635" w:rsidRPr="00874EC0" w:rsidRDefault="00E55635" w:rsidP="00214A38">
            <w:pPr>
              <w:spacing w:line="360" w:lineRule="auto"/>
            </w:pPr>
          </w:p>
        </w:tc>
      </w:tr>
      <w:tr w:rsidR="00A27A8D" w:rsidRPr="00214A38" w:rsidTr="00214A38">
        <w:trPr>
          <w:trHeight w:val="1243"/>
          <w:jc w:val="center"/>
        </w:trPr>
        <w:tc>
          <w:tcPr>
            <w:tcW w:w="2890" w:type="dxa"/>
          </w:tcPr>
          <w:p w:rsidR="00A27A8D" w:rsidRDefault="00A27A8D" w:rsidP="00A94489">
            <w:pPr>
              <w:spacing w:line="360" w:lineRule="auto"/>
              <w:rPr>
                <w:rFonts w:cs="Arial"/>
                <w:noProof/>
                <w:szCs w:val="20"/>
              </w:rPr>
            </w:pPr>
            <w:r>
              <w:rPr>
                <w:rFonts w:cs="Arial"/>
                <w:noProof/>
                <w:szCs w:val="20"/>
                <w:lang w:val="de-DE" w:eastAsia="de-DE" w:bidi="ar-SA"/>
              </w:rPr>
              <w:drawing>
                <wp:inline distT="0" distB="0" distL="0" distR="0">
                  <wp:extent cx="1110614" cy="1665922"/>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_AW_REP_QUEHENBERGER_ENNS_0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110614" cy="1665922"/>
                          </a:xfrm>
                          <a:prstGeom prst="rect">
                            <a:avLst/>
                          </a:prstGeom>
                          <a:noFill/>
                          <a:ln>
                            <a:noFill/>
                          </a:ln>
                        </pic:spPr>
                      </pic:pic>
                    </a:graphicData>
                  </a:graphic>
                </wp:inline>
              </w:drawing>
            </w:r>
          </w:p>
          <w:p w:rsidR="00214A38" w:rsidRPr="00874EC0" w:rsidRDefault="00214A38" w:rsidP="00A94489">
            <w:pPr>
              <w:spacing w:line="360" w:lineRule="auto"/>
              <w:rPr>
                <w:rFonts w:cs="Arial"/>
                <w:noProof/>
                <w:szCs w:val="20"/>
              </w:rPr>
            </w:pPr>
          </w:p>
        </w:tc>
        <w:tc>
          <w:tcPr>
            <w:tcW w:w="7333" w:type="dxa"/>
          </w:tcPr>
          <w:p w:rsidR="00A27A8D" w:rsidRPr="00214A38" w:rsidRDefault="00214A38" w:rsidP="00640E74">
            <w:pPr>
              <w:spacing w:line="360" w:lineRule="auto"/>
              <w:rPr>
                <w:b/>
              </w:rPr>
            </w:pPr>
            <w:r>
              <w:t xml:space="preserve">Figure </w:t>
            </w:r>
            <w:r w:rsidR="00640E74">
              <w:t>8</w:t>
            </w:r>
            <w:r>
              <w:t>: The battery charging technology helps AMAG comply with recent energy efficiency legislation.</w:t>
            </w:r>
          </w:p>
        </w:tc>
      </w:tr>
      <w:tr w:rsidR="00A27A8D" w:rsidRPr="00214A38" w:rsidTr="00214A38">
        <w:trPr>
          <w:trHeight w:val="1243"/>
          <w:jc w:val="center"/>
        </w:trPr>
        <w:tc>
          <w:tcPr>
            <w:tcW w:w="2890" w:type="dxa"/>
          </w:tcPr>
          <w:p w:rsidR="00214A38" w:rsidRDefault="00A27A8D" w:rsidP="00A94489">
            <w:pPr>
              <w:spacing w:line="360" w:lineRule="auto"/>
              <w:rPr>
                <w:rFonts w:cs="Arial"/>
                <w:noProof/>
                <w:szCs w:val="20"/>
              </w:rPr>
            </w:pPr>
            <w:r>
              <w:rPr>
                <w:noProof/>
                <w:lang w:val="de-DE" w:eastAsia="de-DE" w:bidi="ar-SA"/>
              </w:rPr>
              <w:lastRenderedPageBreak/>
              <w:drawing>
                <wp:inline distT="0" distB="0" distL="0" distR="0">
                  <wp:extent cx="1620000" cy="1076448"/>
                  <wp:effectExtent l="1905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_AW_REP_QUEHENBERGER_ENNS_18"/>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0" cy="1076448"/>
                          </a:xfrm>
                          <a:prstGeom prst="rect">
                            <a:avLst/>
                          </a:prstGeom>
                          <a:noFill/>
                          <a:ln>
                            <a:noFill/>
                          </a:ln>
                        </pic:spPr>
                      </pic:pic>
                    </a:graphicData>
                  </a:graphic>
                </wp:inline>
              </w:drawing>
            </w:r>
          </w:p>
          <w:p w:rsidR="00640E74" w:rsidRPr="00874EC0" w:rsidRDefault="00640E74" w:rsidP="00A94489">
            <w:pPr>
              <w:spacing w:line="360" w:lineRule="auto"/>
              <w:rPr>
                <w:rFonts w:cs="Arial"/>
                <w:noProof/>
                <w:szCs w:val="20"/>
              </w:rPr>
            </w:pPr>
          </w:p>
        </w:tc>
        <w:tc>
          <w:tcPr>
            <w:tcW w:w="7333" w:type="dxa"/>
          </w:tcPr>
          <w:p w:rsidR="00EC4A9E" w:rsidRPr="00214A38" w:rsidRDefault="00214A38" w:rsidP="00640E74">
            <w:pPr>
              <w:spacing w:line="360" w:lineRule="auto"/>
            </w:pPr>
            <w:r>
              <w:t xml:space="preserve">Figure </w:t>
            </w:r>
            <w:r w:rsidR="00640E74">
              <w:t>9</w:t>
            </w:r>
            <w:r>
              <w:t>: The new chargers have significantly improved the performance of the heavily worked traction batteries.</w:t>
            </w:r>
          </w:p>
        </w:tc>
      </w:tr>
      <w:tr w:rsidR="00EC4A9E" w:rsidRPr="00214A38" w:rsidTr="00214A38">
        <w:trPr>
          <w:trHeight w:val="1243"/>
          <w:jc w:val="center"/>
        </w:trPr>
        <w:tc>
          <w:tcPr>
            <w:tcW w:w="2890" w:type="dxa"/>
          </w:tcPr>
          <w:p w:rsidR="00EC4A9E" w:rsidRPr="00874EC0" w:rsidRDefault="00EC4A9E" w:rsidP="00A94489">
            <w:pPr>
              <w:spacing w:line="360" w:lineRule="auto"/>
              <w:rPr>
                <w:rFonts w:cs="Arial"/>
                <w:noProof/>
                <w:szCs w:val="20"/>
              </w:rPr>
            </w:pPr>
            <w:r>
              <w:rPr>
                <w:noProof/>
                <w:lang w:val="de-DE" w:eastAsia="de-DE" w:bidi="ar-SA"/>
              </w:rPr>
              <w:drawing>
                <wp:inline distT="0" distB="0" distL="0" distR="0">
                  <wp:extent cx="890650" cy="133449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_AW_REP_QUEHENBERGER_ENNS_18"/>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897274" cy="1344417"/>
                          </a:xfrm>
                          <a:prstGeom prst="rect">
                            <a:avLst/>
                          </a:prstGeom>
                          <a:noFill/>
                          <a:ln>
                            <a:noFill/>
                          </a:ln>
                        </pic:spPr>
                      </pic:pic>
                    </a:graphicData>
                  </a:graphic>
                </wp:inline>
              </w:drawing>
            </w:r>
          </w:p>
        </w:tc>
        <w:tc>
          <w:tcPr>
            <w:tcW w:w="7333" w:type="dxa"/>
          </w:tcPr>
          <w:p w:rsidR="00EC4A9E" w:rsidRDefault="00214A38" w:rsidP="00A94489">
            <w:pPr>
              <w:spacing w:line="360" w:lineRule="auto"/>
            </w:pPr>
            <w:r>
              <w:t xml:space="preserve">Figure </w:t>
            </w:r>
            <w:r w:rsidR="00640E74">
              <w:t>10</w:t>
            </w:r>
            <w:r>
              <w:t>: “The devices offer the most advanced technology on the market and help us achieve considerable savings – both in terms of electricity consumption and our carbon footprint”: Dr. Florian Stadler, head of energy management at AMAG.</w:t>
            </w:r>
          </w:p>
          <w:p w:rsidR="00EC4A9E" w:rsidRPr="004663CC" w:rsidRDefault="00EC4A9E" w:rsidP="00A94489">
            <w:pPr>
              <w:spacing w:line="360" w:lineRule="auto"/>
              <w:rPr>
                <w:b/>
              </w:rPr>
            </w:pPr>
          </w:p>
        </w:tc>
      </w:tr>
    </w:tbl>
    <w:p w:rsidR="00EC4A9E" w:rsidRDefault="00EC4A9E" w:rsidP="00E55635">
      <w:pPr>
        <w:spacing w:line="360" w:lineRule="auto"/>
      </w:pPr>
    </w:p>
    <w:p w:rsidR="00E55635" w:rsidRDefault="00E55635" w:rsidP="00E55635">
      <w:pPr>
        <w:spacing w:line="360" w:lineRule="auto"/>
      </w:pPr>
      <w:r>
        <w:t>Copyright to photos: Fronius International GmbH, reproduction free of charge</w:t>
      </w:r>
    </w:p>
    <w:p w:rsidR="009966A9" w:rsidRDefault="009966A9" w:rsidP="00E55635">
      <w:pPr>
        <w:spacing w:line="360" w:lineRule="auto"/>
      </w:pPr>
    </w:p>
    <w:p w:rsidR="009966A9" w:rsidRPr="009B7D3B" w:rsidRDefault="009966A9" w:rsidP="009966A9">
      <w:pPr>
        <w:rPr>
          <w:rFonts w:cs="Arial"/>
          <w:b/>
          <w:szCs w:val="20"/>
        </w:rPr>
      </w:pPr>
      <w:r w:rsidRPr="009B7D3B">
        <w:rPr>
          <w:b/>
        </w:rPr>
        <w:t xml:space="preserve">Contact details for this publication: </w:t>
      </w:r>
    </w:p>
    <w:tbl>
      <w:tblPr>
        <w:tblW w:w="5660" w:type="dxa"/>
        <w:tblInd w:w="49" w:type="dxa"/>
        <w:tblCellMar>
          <w:left w:w="70" w:type="dxa"/>
          <w:right w:w="70" w:type="dxa"/>
        </w:tblCellMar>
        <w:tblLook w:val="04A0" w:firstRow="1" w:lastRow="0" w:firstColumn="1" w:lastColumn="0" w:noHBand="0" w:noVBand="1"/>
      </w:tblPr>
      <w:tblGrid>
        <w:gridCol w:w="2020"/>
        <w:gridCol w:w="3640"/>
      </w:tblGrid>
      <w:tr w:rsidR="009966A9" w:rsidRPr="009B7D3B" w:rsidTr="00295E94">
        <w:trPr>
          <w:trHeight w:val="255"/>
        </w:trPr>
        <w:tc>
          <w:tcPr>
            <w:tcW w:w="2020" w:type="dxa"/>
            <w:tcBorders>
              <w:top w:val="nil"/>
              <w:left w:val="nil"/>
              <w:bottom w:val="nil"/>
              <w:right w:val="nil"/>
            </w:tcBorders>
            <w:shd w:val="clear" w:color="auto" w:fill="auto"/>
            <w:noWrap/>
            <w:vAlign w:val="bottom"/>
            <w:hideMark/>
          </w:tcPr>
          <w:p w:rsidR="009966A9" w:rsidRPr="009B7D3B" w:rsidRDefault="009966A9" w:rsidP="009966A9">
            <w:pPr>
              <w:rPr>
                <w:rFonts w:eastAsia="Times New Roman" w:cs="Arial"/>
                <w:color w:val="000000"/>
                <w:szCs w:val="20"/>
                <w:lang w:eastAsia="de-DE"/>
              </w:rPr>
            </w:pPr>
            <w:r w:rsidRPr="009B7D3B">
              <w:rPr>
                <w:rFonts w:eastAsia="Times New Roman" w:cs="Arial"/>
                <w:color w:val="000000"/>
                <w:szCs w:val="20"/>
                <w:lang w:eastAsia="de-DE"/>
              </w:rPr>
              <w:t>Company name:</w:t>
            </w:r>
          </w:p>
        </w:tc>
        <w:tc>
          <w:tcPr>
            <w:tcW w:w="3640" w:type="dxa"/>
            <w:tcBorders>
              <w:top w:val="nil"/>
              <w:left w:val="nil"/>
              <w:bottom w:val="nil"/>
              <w:right w:val="nil"/>
            </w:tcBorders>
            <w:shd w:val="clear" w:color="auto" w:fill="auto"/>
            <w:noWrap/>
            <w:vAlign w:val="bottom"/>
            <w:hideMark/>
          </w:tcPr>
          <w:p w:rsidR="009966A9" w:rsidRPr="009B7D3B" w:rsidRDefault="009966A9" w:rsidP="009966A9">
            <w:pPr>
              <w:rPr>
                <w:rFonts w:eastAsia="Times New Roman" w:cs="Arial"/>
                <w:color w:val="000000"/>
                <w:szCs w:val="20"/>
                <w:lang w:eastAsia="de-DE"/>
              </w:rPr>
            </w:pPr>
            <w:r w:rsidRPr="009B7D3B">
              <w:rPr>
                <w:rFonts w:eastAsia="Times New Roman" w:cs="Arial"/>
                <w:color w:val="000000"/>
                <w:szCs w:val="20"/>
                <w:lang w:eastAsia="de-DE"/>
              </w:rPr>
              <w:t>Fronius Perfect Charging</w:t>
            </w:r>
          </w:p>
        </w:tc>
      </w:tr>
      <w:tr w:rsidR="009966A9" w:rsidRPr="009B7D3B" w:rsidTr="00295E94">
        <w:trPr>
          <w:trHeight w:val="255"/>
        </w:trPr>
        <w:tc>
          <w:tcPr>
            <w:tcW w:w="2020" w:type="dxa"/>
            <w:tcBorders>
              <w:top w:val="nil"/>
              <w:left w:val="nil"/>
              <w:bottom w:val="nil"/>
              <w:right w:val="nil"/>
            </w:tcBorders>
            <w:shd w:val="clear" w:color="auto" w:fill="auto"/>
            <w:noWrap/>
            <w:vAlign w:val="bottom"/>
            <w:hideMark/>
          </w:tcPr>
          <w:p w:rsidR="009966A9" w:rsidRPr="009B7D3B" w:rsidRDefault="009966A9" w:rsidP="009966A9">
            <w:pPr>
              <w:rPr>
                <w:rFonts w:eastAsia="Times New Roman" w:cs="Arial"/>
                <w:color w:val="000000"/>
                <w:szCs w:val="20"/>
                <w:lang w:eastAsia="de-DE"/>
              </w:rPr>
            </w:pPr>
            <w:r w:rsidRPr="009B7D3B">
              <w:rPr>
                <w:rFonts w:eastAsia="Times New Roman" w:cs="Arial"/>
                <w:color w:val="000000"/>
                <w:szCs w:val="20"/>
                <w:lang w:eastAsia="de-DE"/>
              </w:rPr>
              <w:t>E-mail:</w:t>
            </w:r>
          </w:p>
        </w:tc>
        <w:tc>
          <w:tcPr>
            <w:tcW w:w="3640" w:type="dxa"/>
            <w:tcBorders>
              <w:top w:val="nil"/>
              <w:left w:val="nil"/>
              <w:bottom w:val="nil"/>
              <w:right w:val="nil"/>
            </w:tcBorders>
            <w:shd w:val="clear" w:color="auto" w:fill="auto"/>
            <w:noWrap/>
            <w:vAlign w:val="bottom"/>
            <w:hideMark/>
          </w:tcPr>
          <w:p w:rsidR="009966A9" w:rsidRPr="009B7D3B" w:rsidRDefault="0034690A" w:rsidP="009966A9">
            <w:pPr>
              <w:rPr>
                <w:rFonts w:eastAsia="Times New Roman" w:cs="Arial"/>
                <w:color w:val="000000"/>
                <w:szCs w:val="20"/>
                <w:lang w:eastAsia="de-DE"/>
              </w:rPr>
            </w:pPr>
            <w:hyperlink r:id="rId24" w:history="1">
              <w:r w:rsidR="009966A9" w:rsidRPr="00427397">
                <w:rPr>
                  <w:rStyle w:val="Hyperlink"/>
                  <w:rFonts w:eastAsia="Times New Roman" w:cs="Arial"/>
                  <w:szCs w:val="20"/>
                  <w:lang w:eastAsia="de-DE"/>
                </w:rPr>
                <w:t>perfect.charging@fronius.com</w:t>
              </w:r>
            </w:hyperlink>
          </w:p>
        </w:tc>
      </w:tr>
      <w:tr w:rsidR="009966A9" w:rsidRPr="009B7D3B" w:rsidTr="00295E94">
        <w:trPr>
          <w:trHeight w:val="255"/>
        </w:trPr>
        <w:tc>
          <w:tcPr>
            <w:tcW w:w="2020" w:type="dxa"/>
            <w:tcBorders>
              <w:top w:val="nil"/>
              <w:left w:val="nil"/>
              <w:bottom w:val="nil"/>
              <w:right w:val="nil"/>
            </w:tcBorders>
            <w:shd w:val="clear" w:color="auto" w:fill="auto"/>
            <w:noWrap/>
            <w:vAlign w:val="bottom"/>
            <w:hideMark/>
          </w:tcPr>
          <w:p w:rsidR="009966A9" w:rsidRPr="009B7D3B" w:rsidRDefault="009966A9" w:rsidP="009966A9">
            <w:pPr>
              <w:rPr>
                <w:rFonts w:eastAsia="Times New Roman" w:cs="Arial"/>
                <w:color w:val="000000"/>
                <w:szCs w:val="20"/>
                <w:lang w:eastAsia="de-DE"/>
              </w:rPr>
            </w:pPr>
            <w:r w:rsidRPr="009B7D3B">
              <w:rPr>
                <w:rFonts w:eastAsia="Times New Roman" w:cs="Arial"/>
                <w:color w:val="000000"/>
                <w:szCs w:val="20"/>
                <w:lang w:eastAsia="de-DE"/>
              </w:rPr>
              <w:t>Website:</w:t>
            </w:r>
          </w:p>
        </w:tc>
        <w:tc>
          <w:tcPr>
            <w:tcW w:w="3640" w:type="dxa"/>
            <w:tcBorders>
              <w:top w:val="nil"/>
              <w:left w:val="nil"/>
              <w:bottom w:val="nil"/>
              <w:right w:val="nil"/>
            </w:tcBorders>
            <w:shd w:val="clear" w:color="auto" w:fill="auto"/>
            <w:noWrap/>
            <w:vAlign w:val="bottom"/>
            <w:hideMark/>
          </w:tcPr>
          <w:p w:rsidR="009966A9" w:rsidRPr="009B7D3B" w:rsidRDefault="0034690A" w:rsidP="009966A9">
            <w:pPr>
              <w:rPr>
                <w:rFonts w:eastAsia="Times New Roman" w:cs="Arial"/>
                <w:color w:val="000000"/>
                <w:szCs w:val="20"/>
                <w:lang w:eastAsia="de-DE"/>
              </w:rPr>
            </w:pPr>
            <w:hyperlink r:id="rId25" w:history="1">
              <w:r w:rsidR="009966A9" w:rsidRPr="00427397">
                <w:rPr>
                  <w:rStyle w:val="Hyperlink"/>
                  <w:rFonts w:eastAsia="Times New Roman" w:cs="Arial"/>
                  <w:szCs w:val="20"/>
                  <w:lang w:eastAsia="de-DE"/>
                </w:rPr>
                <w:t>www.fronius.com/intralogistics</w:t>
              </w:r>
            </w:hyperlink>
          </w:p>
        </w:tc>
      </w:tr>
      <w:tr w:rsidR="009966A9" w:rsidRPr="009B7D3B" w:rsidTr="00295E94">
        <w:trPr>
          <w:trHeight w:val="255"/>
        </w:trPr>
        <w:tc>
          <w:tcPr>
            <w:tcW w:w="2020" w:type="dxa"/>
            <w:tcBorders>
              <w:top w:val="nil"/>
              <w:left w:val="nil"/>
              <w:bottom w:val="nil"/>
              <w:right w:val="nil"/>
            </w:tcBorders>
            <w:shd w:val="clear" w:color="auto" w:fill="auto"/>
            <w:noWrap/>
            <w:vAlign w:val="bottom"/>
            <w:hideMark/>
          </w:tcPr>
          <w:p w:rsidR="009966A9" w:rsidRPr="009B7D3B" w:rsidRDefault="009966A9" w:rsidP="009966A9">
            <w:pPr>
              <w:rPr>
                <w:rFonts w:eastAsia="Times New Roman" w:cs="Arial"/>
                <w:color w:val="000000"/>
                <w:szCs w:val="20"/>
                <w:lang w:eastAsia="de-DE"/>
              </w:rPr>
            </w:pPr>
            <w:r w:rsidRPr="009B7D3B">
              <w:rPr>
                <w:rFonts w:eastAsia="Times New Roman" w:cs="Arial"/>
                <w:color w:val="000000"/>
                <w:szCs w:val="20"/>
                <w:lang w:eastAsia="de-DE"/>
              </w:rPr>
              <w:t>YouTube:</w:t>
            </w:r>
          </w:p>
        </w:tc>
        <w:tc>
          <w:tcPr>
            <w:tcW w:w="3640" w:type="dxa"/>
            <w:tcBorders>
              <w:top w:val="nil"/>
              <w:left w:val="nil"/>
              <w:bottom w:val="nil"/>
              <w:right w:val="nil"/>
            </w:tcBorders>
            <w:shd w:val="clear" w:color="auto" w:fill="auto"/>
            <w:noWrap/>
            <w:vAlign w:val="bottom"/>
            <w:hideMark/>
          </w:tcPr>
          <w:p w:rsidR="009966A9" w:rsidRPr="009B7D3B" w:rsidRDefault="0034690A" w:rsidP="009966A9">
            <w:pPr>
              <w:rPr>
                <w:rFonts w:eastAsia="Times New Roman" w:cs="Arial"/>
                <w:color w:val="000000"/>
                <w:szCs w:val="20"/>
                <w:lang w:eastAsia="de-DE"/>
              </w:rPr>
            </w:pPr>
            <w:hyperlink r:id="rId26" w:history="1">
              <w:r w:rsidR="009966A9" w:rsidRPr="00427397">
                <w:rPr>
                  <w:rStyle w:val="Hyperlink"/>
                  <w:rFonts w:eastAsia="Times New Roman" w:cs="Arial"/>
                  <w:szCs w:val="20"/>
                  <w:lang w:eastAsia="de-DE"/>
                </w:rPr>
                <w:t>www.youtube.com/FroniusCharging</w:t>
              </w:r>
            </w:hyperlink>
            <w:r w:rsidR="009966A9" w:rsidRPr="009B7D3B">
              <w:rPr>
                <w:rFonts w:eastAsia="Times New Roman" w:cs="Arial"/>
                <w:color w:val="000000"/>
                <w:szCs w:val="20"/>
                <w:lang w:eastAsia="de-DE"/>
              </w:rPr>
              <w:t xml:space="preserve"> </w:t>
            </w:r>
          </w:p>
        </w:tc>
      </w:tr>
      <w:tr w:rsidR="009966A9" w:rsidRPr="009B7D3B" w:rsidTr="00295E94">
        <w:trPr>
          <w:trHeight w:val="255"/>
        </w:trPr>
        <w:tc>
          <w:tcPr>
            <w:tcW w:w="2020" w:type="dxa"/>
            <w:tcBorders>
              <w:top w:val="nil"/>
              <w:left w:val="nil"/>
              <w:bottom w:val="nil"/>
              <w:right w:val="nil"/>
            </w:tcBorders>
            <w:shd w:val="clear" w:color="auto" w:fill="auto"/>
            <w:noWrap/>
            <w:vAlign w:val="bottom"/>
            <w:hideMark/>
          </w:tcPr>
          <w:p w:rsidR="009966A9" w:rsidRPr="009B7D3B" w:rsidRDefault="009966A9" w:rsidP="009966A9">
            <w:pPr>
              <w:rPr>
                <w:rFonts w:eastAsia="Times New Roman" w:cs="Arial"/>
                <w:color w:val="000000"/>
                <w:szCs w:val="20"/>
                <w:lang w:eastAsia="de-DE"/>
              </w:rPr>
            </w:pPr>
            <w:r w:rsidRPr="009B7D3B">
              <w:rPr>
                <w:rFonts w:eastAsia="Times New Roman" w:cs="Arial"/>
                <w:color w:val="000000"/>
                <w:szCs w:val="20"/>
                <w:lang w:eastAsia="de-DE"/>
              </w:rPr>
              <w:t>Phone International:</w:t>
            </w:r>
          </w:p>
        </w:tc>
        <w:tc>
          <w:tcPr>
            <w:tcW w:w="3640" w:type="dxa"/>
            <w:tcBorders>
              <w:top w:val="nil"/>
              <w:left w:val="nil"/>
              <w:bottom w:val="nil"/>
              <w:right w:val="nil"/>
            </w:tcBorders>
            <w:shd w:val="clear" w:color="auto" w:fill="auto"/>
            <w:noWrap/>
            <w:vAlign w:val="bottom"/>
            <w:hideMark/>
          </w:tcPr>
          <w:p w:rsidR="009966A9" w:rsidRPr="009B7D3B" w:rsidRDefault="009966A9" w:rsidP="009966A9">
            <w:pPr>
              <w:rPr>
                <w:rFonts w:eastAsia="Times New Roman" w:cs="Arial"/>
                <w:color w:val="000000"/>
                <w:szCs w:val="20"/>
                <w:lang w:eastAsia="de-DE"/>
              </w:rPr>
            </w:pPr>
            <w:r w:rsidRPr="009B7D3B">
              <w:rPr>
                <w:rFonts w:eastAsia="Times New Roman" w:cs="Arial"/>
                <w:color w:val="000000"/>
                <w:szCs w:val="20"/>
                <w:lang w:eastAsia="de-DE"/>
              </w:rPr>
              <w:t>+43 7242 2410</w:t>
            </w:r>
          </w:p>
        </w:tc>
      </w:tr>
      <w:tr w:rsidR="009966A9" w:rsidRPr="009B7D3B" w:rsidTr="00295E94">
        <w:trPr>
          <w:trHeight w:val="255"/>
        </w:trPr>
        <w:tc>
          <w:tcPr>
            <w:tcW w:w="2020" w:type="dxa"/>
            <w:tcBorders>
              <w:top w:val="nil"/>
              <w:left w:val="nil"/>
              <w:bottom w:val="nil"/>
              <w:right w:val="nil"/>
            </w:tcBorders>
            <w:shd w:val="clear" w:color="auto" w:fill="auto"/>
            <w:noWrap/>
            <w:vAlign w:val="bottom"/>
            <w:hideMark/>
          </w:tcPr>
          <w:p w:rsidR="009966A9" w:rsidRPr="009B7D3B" w:rsidRDefault="009966A9" w:rsidP="009966A9">
            <w:pPr>
              <w:rPr>
                <w:rFonts w:eastAsia="Times New Roman" w:cs="Arial"/>
                <w:color w:val="000000"/>
                <w:szCs w:val="20"/>
                <w:lang w:eastAsia="de-DE"/>
              </w:rPr>
            </w:pPr>
            <w:r w:rsidRPr="009B7D3B">
              <w:rPr>
                <w:rFonts w:eastAsia="Times New Roman" w:cs="Arial"/>
                <w:color w:val="000000"/>
                <w:szCs w:val="20"/>
                <w:lang w:eastAsia="de-DE"/>
              </w:rPr>
              <w:t xml:space="preserve">Phone UK &amp; Ireland: </w:t>
            </w:r>
          </w:p>
        </w:tc>
        <w:tc>
          <w:tcPr>
            <w:tcW w:w="3640" w:type="dxa"/>
            <w:tcBorders>
              <w:top w:val="nil"/>
              <w:left w:val="nil"/>
              <w:bottom w:val="nil"/>
              <w:right w:val="nil"/>
            </w:tcBorders>
            <w:shd w:val="clear" w:color="auto" w:fill="auto"/>
            <w:noWrap/>
            <w:vAlign w:val="bottom"/>
            <w:hideMark/>
          </w:tcPr>
          <w:p w:rsidR="009966A9" w:rsidRPr="009B7D3B" w:rsidRDefault="009966A9" w:rsidP="009966A9">
            <w:pPr>
              <w:rPr>
                <w:rFonts w:eastAsia="Times New Roman" w:cs="Arial"/>
                <w:color w:val="000000"/>
                <w:szCs w:val="20"/>
                <w:lang w:eastAsia="de-DE"/>
              </w:rPr>
            </w:pPr>
            <w:r w:rsidRPr="009B7D3B">
              <w:rPr>
                <w:rFonts w:eastAsia="Times New Roman" w:cs="Arial"/>
                <w:color w:val="000000"/>
                <w:szCs w:val="20"/>
                <w:lang w:eastAsia="de-DE"/>
              </w:rPr>
              <w:t>+44 1908 512347</w:t>
            </w:r>
          </w:p>
        </w:tc>
      </w:tr>
      <w:tr w:rsidR="009966A9" w:rsidRPr="009B7D3B" w:rsidTr="00295E94">
        <w:trPr>
          <w:trHeight w:val="255"/>
        </w:trPr>
        <w:tc>
          <w:tcPr>
            <w:tcW w:w="2020" w:type="dxa"/>
            <w:tcBorders>
              <w:top w:val="nil"/>
              <w:left w:val="nil"/>
              <w:bottom w:val="nil"/>
              <w:right w:val="nil"/>
            </w:tcBorders>
            <w:shd w:val="clear" w:color="auto" w:fill="auto"/>
            <w:noWrap/>
            <w:vAlign w:val="bottom"/>
          </w:tcPr>
          <w:p w:rsidR="009966A9" w:rsidRPr="009B7D3B" w:rsidRDefault="009966A9" w:rsidP="009966A9">
            <w:pPr>
              <w:rPr>
                <w:rFonts w:eastAsia="Times New Roman" w:cs="Arial"/>
                <w:color w:val="000000"/>
                <w:szCs w:val="20"/>
                <w:lang w:eastAsia="de-DE"/>
              </w:rPr>
            </w:pPr>
            <w:r>
              <w:rPr>
                <w:rFonts w:eastAsia="Times New Roman" w:cs="Arial"/>
                <w:color w:val="000000"/>
                <w:szCs w:val="20"/>
                <w:lang w:eastAsia="de-DE"/>
              </w:rPr>
              <w:t>Phone India:</w:t>
            </w:r>
          </w:p>
        </w:tc>
        <w:tc>
          <w:tcPr>
            <w:tcW w:w="3640" w:type="dxa"/>
            <w:tcBorders>
              <w:top w:val="nil"/>
              <w:left w:val="nil"/>
              <w:bottom w:val="nil"/>
              <w:right w:val="nil"/>
            </w:tcBorders>
            <w:shd w:val="clear" w:color="auto" w:fill="auto"/>
            <w:noWrap/>
            <w:vAlign w:val="bottom"/>
          </w:tcPr>
          <w:p w:rsidR="009966A9" w:rsidRPr="009B7D3B" w:rsidRDefault="009966A9" w:rsidP="009966A9">
            <w:pPr>
              <w:rPr>
                <w:rFonts w:eastAsia="Times New Roman" w:cs="Arial"/>
                <w:color w:val="000000"/>
                <w:szCs w:val="20"/>
                <w:lang w:eastAsia="de-DE"/>
              </w:rPr>
            </w:pPr>
            <w:r>
              <w:rPr>
                <w:rFonts w:eastAsia="Times New Roman" w:cs="Arial"/>
                <w:color w:val="000000"/>
                <w:szCs w:val="20"/>
                <w:lang w:eastAsia="de-DE"/>
              </w:rPr>
              <w:t>+91 97654 98881</w:t>
            </w:r>
          </w:p>
        </w:tc>
      </w:tr>
    </w:tbl>
    <w:p w:rsidR="009966A9" w:rsidRPr="009B7D3B" w:rsidRDefault="009966A9" w:rsidP="009966A9"/>
    <w:p w:rsidR="009966A9" w:rsidRPr="00EB4DBA" w:rsidRDefault="009966A9" w:rsidP="009966A9"/>
    <w:p w:rsidR="009966A9" w:rsidRPr="009966A9" w:rsidRDefault="009966A9" w:rsidP="009966A9">
      <w:pPr>
        <w:rPr>
          <w:b/>
        </w:rPr>
      </w:pPr>
      <w:r w:rsidRPr="009966A9">
        <w:rPr>
          <w:rFonts w:cs="Arial"/>
          <w:b/>
          <w:szCs w:val="20"/>
        </w:rPr>
        <w:t>About Fronius International GmbH</w:t>
      </w:r>
    </w:p>
    <w:p w:rsidR="009966A9" w:rsidRPr="001B73D1" w:rsidRDefault="009966A9" w:rsidP="009966A9">
      <w:pPr>
        <w:jc w:val="both"/>
        <w:rPr>
          <w:rFonts w:cs="Arial"/>
          <w:szCs w:val="20"/>
        </w:rPr>
      </w:pPr>
      <w:r>
        <w:fldChar w:fldCharType="begin"/>
      </w:r>
      <w:r>
        <w:instrText xml:space="preserve"> INCLUDETEXT  "http://company/sites/cm/pressinfo/Fronius%20International%20GmbH%20EN.docx" </w:instrText>
      </w:r>
      <w:r>
        <w:fldChar w:fldCharType="separate"/>
      </w:r>
      <w:r w:rsidRPr="001B73D1">
        <w:t>Fronius International GmbH is an Austrian company with headquarters in Pettenbach and other sites in Wels, Thalheim, St</w:t>
      </w:r>
      <w:r>
        <w:t>einhaus and Sattledt. With 3,723</w:t>
      </w:r>
      <w:r w:rsidRPr="001B73D1">
        <w:t xml:space="preserve"> employees worldwide, the company is active in the fields of welding technology, photovoltaics and battery charging technology. Around 9</w:t>
      </w:r>
      <w:r>
        <w:t>0%</w:t>
      </w:r>
      <w:r w:rsidRPr="001B73D1">
        <w:t xml:space="preserve"> of its </w:t>
      </w:r>
      <w:r>
        <w:t>products are exported through 24</w:t>
      </w:r>
      <w:r w:rsidRPr="001B73D1">
        <w:t xml:space="preserve"> international Fronius subsidiaries and sales partners/representatives in over 60 countries. With its innovati</w:t>
      </w:r>
      <w:r>
        <w:t>ve products and services and 838</w:t>
      </w:r>
      <w:r w:rsidRPr="001B73D1">
        <w:t xml:space="preserve"> granted patents, Fronius is the global innovation leader. </w:t>
      </w:r>
    </w:p>
    <w:p w:rsidR="009966A9" w:rsidRDefault="009966A9" w:rsidP="009966A9">
      <w:pPr>
        <w:jc w:val="both"/>
        <w:rPr>
          <w:rFonts w:cs="Arial"/>
          <w:szCs w:val="20"/>
        </w:rPr>
      </w:pPr>
    </w:p>
    <w:tbl>
      <w:tblPr>
        <w:tblW w:w="0" w:type="auto"/>
        <w:jc w:val="center"/>
        <w:tblLayout w:type="fixed"/>
        <w:tblLook w:val="0000" w:firstRow="0" w:lastRow="0" w:firstColumn="0" w:lastColumn="0" w:noHBand="0" w:noVBand="0"/>
      </w:tblPr>
      <w:tblGrid>
        <w:gridCol w:w="2802"/>
        <w:gridCol w:w="7314"/>
      </w:tblGrid>
      <w:tr w:rsidR="009966A9" w:rsidRPr="009B7D3B" w:rsidTr="00295E94">
        <w:trPr>
          <w:trHeight w:val="1216"/>
          <w:jc w:val="center"/>
        </w:trPr>
        <w:tc>
          <w:tcPr>
            <w:tcW w:w="2802" w:type="dxa"/>
            <w:tcBorders>
              <w:top w:val="nil"/>
              <w:left w:val="nil"/>
              <w:bottom w:val="nil"/>
              <w:right w:val="nil"/>
            </w:tcBorders>
          </w:tcPr>
          <w:p w:rsidR="009966A9" w:rsidRPr="009B7D3B" w:rsidRDefault="009966A9" w:rsidP="009966A9">
            <w:pPr>
              <w:rPr>
                <w:rFonts w:cs="Arial"/>
                <w:szCs w:val="20"/>
              </w:rPr>
            </w:pPr>
            <w:r w:rsidRPr="009B7D3B">
              <w:rPr>
                <w:rFonts w:cs="Arial"/>
                <w:noProof/>
                <w:szCs w:val="20"/>
                <w:lang w:val="de-DE" w:eastAsia="de-DE" w:bidi="ar-SA"/>
              </w:rPr>
              <w:drawing>
                <wp:inline distT="0" distB="0" distL="0" distR="0">
                  <wp:extent cx="1638300" cy="1036320"/>
                  <wp:effectExtent l="0" t="0" r="0" b="0"/>
                  <wp:docPr id="10" name="Grafik 1" descr="IFOY_Partner-Logo-ohneJ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Y_Partner-Logo-ohneJah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8300" cy="1036320"/>
                          </a:xfrm>
                          <a:prstGeom prst="rect">
                            <a:avLst/>
                          </a:prstGeom>
                          <a:noFill/>
                          <a:ln>
                            <a:noFill/>
                          </a:ln>
                        </pic:spPr>
                      </pic:pic>
                    </a:graphicData>
                  </a:graphic>
                </wp:inline>
              </w:drawing>
            </w:r>
          </w:p>
        </w:tc>
        <w:tc>
          <w:tcPr>
            <w:tcW w:w="7314" w:type="dxa"/>
            <w:tcBorders>
              <w:top w:val="nil"/>
              <w:left w:val="nil"/>
              <w:bottom w:val="nil"/>
              <w:right w:val="nil"/>
            </w:tcBorders>
          </w:tcPr>
          <w:p w:rsidR="009966A9" w:rsidRPr="009B7D3B" w:rsidRDefault="009966A9" w:rsidP="009966A9">
            <w:pPr>
              <w:rPr>
                <w:rFonts w:cs="Arial"/>
                <w:szCs w:val="20"/>
              </w:rPr>
            </w:pPr>
            <w:r w:rsidRPr="009B7D3B">
              <w:rPr>
                <w:rFonts w:cs="Arial"/>
                <w:szCs w:val="20"/>
              </w:rPr>
              <w:t>Fronius is an official partner of the IFOY AWARD (International Forklift Truck of the Year), which recognises the best forklift trucks and application solutions in the industry, trade and service sectors.</w:t>
            </w:r>
          </w:p>
          <w:p w:rsidR="009966A9" w:rsidRPr="009B7D3B" w:rsidRDefault="009966A9" w:rsidP="009966A9">
            <w:pPr>
              <w:rPr>
                <w:rFonts w:cs="Arial"/>
                <w:szCs w:val="20"/>
              </w:rPr>
            </w:pPr>
          </w:p>
        </w:tc>
      </w:tr>
    </w:tbl>
    <w:p w:rsidR="009966A9" w:rsidRDefault="009966A9" w:rsidP="009966A9">
      <w:r>
        <w:fldChar w:fldCharType="end"/>
      </w:r>
    </w:p>
    <w:p w:rsidR="009966A9" w:rsidRPr="00EB4DBA" w:rsidRDefault="009966A9" w:rsidP="009966A9"/>
    <w:p w:rsidR="009966A9" w:rsidRPr="009B7D3B" w:rsidRDefault="009966A9" w:rsidP="009966A9">
      <w:pPr>
        <w:rPr>
          <w:rFonts w:cs="Arial"/>
          <w:b/>
          <w:szCs w:val="20"/>
        </w:rPr>
      </w:pPr>
      <w:r w:rsidRPr="009B7D3B">
        <w:rPr>
          <w:rFonts w:cs="Arial"/>
          <w:b/>
          <w:szCs w:val="20"/>
        </w:rPr>
        <w:t>Fronius U.K. Limited</w:t>
      </w:r>
    </w:p>
    <w:p w:rsidR="009966A9" w:rsidRPr="009B7D3B" w:rsidRDefault="009966A9" w:rsidP="009966A9">
      <w:pPr>
        <w:rPr>
          <w:rFonts w:cs="Arial"/>
          <w:szCs w:val="20"/>
        </w:rPr>
      </w:pPr>
      <w:r w:rsidRPr="009B7D3B">
        <w:rPr>
          <w:rFonts w:cs="Arial"/>
          <w:szCs w:val="20"/>
        </w:rPr>
        <w:t xml:space="preserve">Enquiries: Ross Adams, +44 7580 076988, </w:t>
      </w:r>
      <w:hyperlink r:id="rId28" w:history="1">
        <w:r w:rsidRPr="009B7D3B">
          <w:rPr>
            <w:rFonts w:cs="Arial"/>
            <w:color w:val="0000FF"/>
            <w:szCs w:val="20"/>
            <w:u w:val="single"/>
          </w:rPr>
          <w:t>adams.ross@fronius.com</w:t>
        </w:r>
      </w:hyperlink>
    </w:p>
    <w:p w:rsidR="009966A9" w:rsidRPr="009B7D3B" w:rsidRDefault="009966A9" w:rsidP="009966A9">
      <w:pPr>
        <w:rPr>
          <w:rFonts w:cs="Arial"/>
          <w:szCs w:val="20"/>
        </w:rPr>
      </w:pPr>
      <w:r w:rsidRPr="009B7D3B">
        <w:rPr>
          <w:rFonts w:cs="Arial"/>
          <w:szCs w:val="20"/>
        </w:rPr>
        <w:t>Copies: Ross Adams, Maidstone Road, Kingston, Milton Keynes, MK10 0BD United Kingdom</w:t>
      </w:r>
    </w:p>
    <w:p w:rsidR="009966A9" w:rsidRPr="009966A9" w:rsidRDefault="009966A9" w:rsidP="009966A9">
      <w:pPr>
        <w:rPr>
          <w:rFonts w:cs="Arial"/>
          <w:b/>
          <w:szCs w:val="20"/>
          <w:lang w:val="en-US"/>
        </w:rPr>
      </w:pPr>
    </w:p>
    <w:p w:rsidR="009966A9" w:rsidRPr="009B7D3B" w:rsidRDefault="009966A9" w:rsidP="009966A9">
      <w:pPr>
        <w:rPr>
          <w:rFonts w:cs="Arial"/>
          <w:b/>
          <w:szCs w:val="20"/>
        </w:rPr>
      </w:pPr>
      <w:r w:rsidRPr="009B7D3B">
        <w:rPr>
          <w:rFonts w:cs="Arial"/>
          <w:b/>
          <w:szCs w:val="20"/>
        </w:rPr>
        <w:t xml:space="preserve">Fronius </w:t>
      </w:r>
      <w:r>
        <w:rPr>
          <w:rFonts w:cs="Arial"/>
          <w:b/>
          <w:szCs w:val="20"/>
        </w:rPr>
        <w:t>India Private</w:t>
      </w:r>
      <w:r w:rsidRPr="009B7D3B">
        <w:rPr>
          <w:rFonts w:cs="Arial"/>
          <w:b/>
          <w:szCs w:val="20"/>
        </w:rPr>
        <w:t xml:space="preserve"> Limited</w:t>
      </w:r>
    </w:p>
    <w:p w:rsidR="009966A9" w:rsidRPr="009B7D3B" w:rsidRDefault="009966A9" w:rsidP="009966A9">
      <w:pPr>
        <w:rPr>
          <w:rFonts w:cs="Arial"/>
          <w:szCs w:val="20"/>
        </w:rPr>
      </w:pPr>
      <w:r w:rsidRPr="009B7D3B">
        <w:rPr>
          <w:rFonts w:cs="Arial"/>
          <w:szCs w:val="20"/>
        </w:rPr>
        <w:t xml:space="preserve">Enquiries: </w:t>
      </w:r>
      <w:r>
        <w:rPr>
          <w:rFonts w:cs="Arial"/>
          <w:szCs w:val="20"/>
        </w:rPr>
        <w:t>Dayal Varma Buddharaju</w:t>
      </w:r>
      <w:r w:rsidRPr="009B7D3B">
        <w:rPr>
          <w:rFonts w:cs="Arial"/>
          <w:szCs w:val="20"/>
        </w:rPr>
        <w:t>, +</w:t>
      </w:r>
      <w:r>
        <w:rPr>
          <w:rFonts w:cs="Arial"/>
          <w:szCs w:val="20"/>
        </w:rPr>
        <w:t>91</w:t>
      </w:r>
      <w:r w:rsidRPr="009B7D3B">
        <w:rPr>
          <w:rFonts w:cs="Arial"/>
          <w:szCs w:val="20"/>
        </w:rPr>
        <w:t xml:space="preserve"> </w:t>
      </w:r>
      <w:r>
        <w:rPr>
          <w:rFonts w:cs="Arial"/>
          <w:szCs w:val="20"/>
        </w:rPr>
        <w:t>97654</w:t>
      </w:r>
      <w:r w:rsidRPr="009B7D3B">
        <w:rPr>
          <w:rFonts w:cs="Arial"/>
          <w:szCs w:val="20"/>
        </w:rPr>
        <w:t xml:space="preserve"> </w:t>
      </w:r>
      <w:r>
        <w:rPr>
          <w:rFonts w:cs="Arial"/>
          <w:szCs w:val="20"/>
        </w:rPr>
        <w:t>98881</w:t>
      </w:r>
      <w:r w:rsidRPr="009B7D3B">
        <w:rPr>
          <w:rFonts w:cs="Arial"/>
          <w:szCs w:val="20"/>
        </w:rPr>
        <w:t xml:space="preserve">, </w:t>
      </w:r>
      <w:hyperlink r:id="rId29" w:history="1">
        <w:r>
          <w:rPr>
            <w:rFonts w:cs="Arial"/>
            <w:color w:val="0000FF"/>
            <w:szCs w:val="20"/>
            <w:u w:val="single"/>
          </w:rPr>
          <w:t>buddharaju.dayalvarma</w:t>
        </w:r>
        <w:r w:rsidRPr="009B7D3B">
          <w:rPr>
            <w:rFonts w:cs="Arial"/>
            <w:color w:val="0000FF"/>
            <w:szCs w:val="20"/>
            <w:u w:val="single"/>
          </w:rPr>
          <w:t>@fronius.com</w:t>
        </w:r>
      </w:hyperlink>
    </w:p>
    <w:p w:rsidR="009966A9" w:rsidRDefault="009966A9" w:rsidP="009966A9">
      <w:pPr>
        <w:rPr>
          <w:rFonts w:cs="Arial"/>
          <w:szCs w:val="20"/>
        </w:rPr>
      </w:pPr>
      <w:r w:rsidRPr="009B7D3B">
        <w:rPr>
          <w:rFonts w:cs="Arial"/>
          <w:szCs w:val="20"/>
        </w:rPr>
        <w:t xml:space="preserve">Copies: </w:t>
      </w:r>
      <w:r w:rsidRPr="00B8398C">
        <w:rPr>
          <w:rFonts w:cs="Arial"/>
          <w:szCs w:val="20"/>
        </w:rPr>
        <w:t>Dayal Varma Buddharaju</w:t>
      </w:r>
      <w:r w:rsidRPr="009B7D3B">
        <w:rPr>
          <w:rFonts w:cs="Arial"/>
          <w:szCs w:val="20"/>
        </w:rPr>
        <w:t xml:space="preserve">, </w:t>
      </w:r>
      <w:r w:rsidRPr="00B8398C">
        <w:rPr>
          <w:rFonts w:cs="Arial"/>
          <w:szCs w:val="20"/>
        </w:rPr>
        <w:t>GAT no 312, Nanekarwadi</w:t>
      </w:r>
      <w:r w:rsidRPr="009B7D3B">
        <w:rPr>
          <w:rFonts w:cs="Arial"/>
          <w:szCs w:val="20"/>
        </w:rPr>
        <w:t xml:space="preserve">, </w:t>
      </w:r>
      <w:r w:rsidRPr="00B8398C">
        <w:rPr>
          <w:rFonts w:cs="Arial"/>
          <w:szCs w:val="20"/>
        </w:rPr>
        <w:t>Chakan, Taluka- Khed District</w:t>
      </w:r>
      <w:r w:rsidRPr="009B7D3B">
        <w:rPr>
          <w:rFonts w:cs="Arial"/>
          <w:szCs w:val="20"/>
        </w:rPr>
        <w:t xml:space="preserve">, </w:t>
      </w:r>
      <w:r w:rsidRPr="00B8398C">
        <w:rPr>
          <w:rFonts w:cs="Arial"/>
          <w:szCs w:val="20"/>
        </w:rPr>
        <w:t>Pune 410 501</w:t>
      </w:r>
      <w:r>
        <w:rPr>
          <w:rFonts w:cs="Arial"/>
          <w:szCs w:val="20"/>
        </w:rPr>
        <w:t>,</w:t>
      </w:r>
      <w:r w:rsidRPr="009B7D3B">
        <w:rPr>
          <w:rFonts w:cs="Arial"/>
          <w:szCs w:val="20"/>
        </w:rPr>
        <w:t xml:space="preserve"> </w:t>
      </w:r>
      <w:r w:rsidRPr="00B8398C">
        <w:rPr>
          <w:rFonts w:cs="Arial"/>
          <w:szCs w:val="20"/>
        </w:rPr>
        <w:t>India</w:t>
      </w:r>
    </w:p>
    <w:p w:rsidR="009966A9" w:rsidRPr="009B7D3B" w:rsidRDefault="009966A9" w:rsidP="009966A9">
      <w:pPr>
        <w:rPr>
          <w:rFonts w:cs="Arial"/>
          <w:szCs w:val="20"/>
        </w:rPr>
      </w:pPr>
    </w:p>
    <w:p w:rsidR="009966A9" w:rsidRPr="00640E74" w:rsidRDefault="009966A9" w:rsidP="009966A9">
      <w:pPr>
        <w:rPr>
          <w:rFonts w:cs="Arial"/>
          <w:b/>
          <w:szCs w:val="20"/>
          <w:lang w:val="de-DE"/>
        </w:rPr>
      </w:pPr>
      <w:r w:rsidRPr="00640E74">
        <w:rPr>
          <w:rFonts w:cs="Arial"/>
          <w:b/>
          <w:szCs w:val="20"/>
          <w:lang w:val="de-DE"/>
        </w:rPr>
        <w:lastRenderedPageBreak/>
        <w:t>a1kommunikation Schweizer GmbH</w:t>
      </w:r>
    </w:p>
    <w:p w:rsidR="009966A9" w:rsidRPr="00640E74" w:rsidRDefault="009966A9" w:rsidP="009966A9">
      <w:pPr>
        <w:rPr>
          <w:rFonts w:cs="Arial"/>
          <w:szCs w:val="20"/>
          <w:lang w:val="de-DE"/>
        </w:rPr>
      </w:pPr>
      <w:r w:rsidRPr="00640E74">
        <w:rPr>
          <w:rFonts w:cs="Arial"/>
          <w:szCs w:val="20"/>
          <w:lang w:val="de-DE"/>
        </w:rPr>
        <w:t xml:space="preserve">Enquiries: Kirsten Ludwig, +49 711 94541612, </w:t>
      </w:r>
      <w:hyperlink r:id="rId30" w:history="1">
        <w:r w:rsidRPr="00640E74">
          <w:rPr>
            <w:rFonts w:cs="Arial"/>
            <w:color w:val="0000FF"/>
            <w:szCs w:val="20"/>
            <w:u w:val="single"/>
            <w:lang w:val="de-DE"/>
          </w:rPr>
          <w:t>kirsten.ludwig@a1kommunikation.de</w:t>
        </w:r>
      </w:hyperlink>
    </w:p>
    <w:p w:rsidR="009966A9" w:rsidRPr="009B7D3B" w:rsidRDefault="009966A9" w:rsidP="009966A9">
      <w:pPr>
        <w:rPr>
          <w:lang w:val="de-DE"/>
        </w:rPr>
      </w:pPr>
      <w:r w:rsidRPr="009B7D3B">
        <w:rPr>
          <w:rFonts w:cs="Arial"/>
          <w:szCs w:val="20"/>
          <w:lang w:val="de-DE"/>
        </w:rPr>
        <w:t>Copies: Kirsten Ludwig, Oberdorfstr. 31a, 70794 Filderstadt, Germany</w:t>
      </w:r>
    </w:p>
    <w:p w:rsidR="009966A9" w:rsidRPr="009B7D3B" w:rsidRDefault="009966A9" w:rsidP="009966A9">
      <w:pPr>
        <w:rPr>
          <w:lang w:val="de-DE"/>
        </w:rPr>
      </w:pPr>
    </w:p>
    <w:p w:rsidR="009966A9" w:rsidRPr="009B7D3B" w:rsidRDefault="009966A9" w:rsidP="009966A9">
      <w:pPr>
        <w:rPr>
          <w:lang w:val="de-DE"/>
        </w:rPr>
      </w:pPr>
    </w:p>
    <w:p w:rsidR="009966A9" w:rsidRPr="009966A9" w:rsidRDefault="009966A9" w:rsidP="00E55635">
      <w:pPr>
        <w:spacing w:line="360" w:lineRule="auto"/>
        <w:rPr>
          <w:lang w:val="de-DE"/>
        </w:rPr>
      </w:pPr>
    </w:p>
    <w:sectPr w:rsidR="009966A9" w:rsidRPr="009966A9" w:rsidSect="006E3B6D">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0A" w:rsidRDefault="0034690A" w:rsidP="006E3B6D">
      <w:r>
        <w:separator/>
      </w:r>
    </w:p>
  </w:endnote>
  <w:endnote w:type="continuationSeparator" w:id="0">
    <w:p w:rsidR="0034690A" w:rsidRDefault="0034690A" w:rsidP="006E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38" w:rsidRDefault="00214A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A9" w:rsidRPr="00E533E1" w:rsidRDefault="00214A38" w:rsidP="00D74AB9">
    <w:pPr>
      <w:tabs>
        <w:tab w:val="right" w:pos="10080"/>
      </w:tabs>
      <w:rPr>
        <w:sz w:val="16"/>
        <w:szCs w:val="16"/>
      </w:rPr>
    </w:pPr>
    <w:r>
      <w:rPr>
        <w:sz w:val="12"/>
      </w:rPr>
      <w:t>07/2016</w:t>
    </w:r>
    <w:r>
      <w:tab/>
    </w:r>
    <w:r w:rsidR="00604336" w:rsidRPr="00E533E1">
      <w:rPr>
        <w:sz w:val="16"/>
        <w:szCs w:val="16"/>
      </w:rPr>
      <w:fldChar w:fldCharType="begin"/>
    </w:r>
    <w:r w:rsidR="00441DA9" w:rsidRPr="00E533E1">
      <w:rPr>
        <w:sz w:val="16"/>
        <w:szCs w:val="16"/>
      </w:rPr>
      <w:instrText xml:space="preserve"> </w:instrText>
    </w:r>
    <w:r w:rsidR="00441DA9">
      <w:rPr>
        <w:sz w:val="16"/>
        <w:szCs w:val="16"/>
      </w:rPr>
      <w:instrText>PAGE</w:instrText>
    </w:r>
    <w:r w:rsidR="00441DA9" w:rsidRPr="00E533E1">
      <w:rPr>
        <w:sz w:val="16"/>
        <w:szCs w:val="16"/>
      </w:rPr>
      <w:instrText xml:space="preserve"> </w:instrText>
    </w:r>
    <w:r w:rsidR="00604336" w:rsidRPr="00E533E1">
      <w:rPr>
        <w:sz w:val="16"/>
        <w:szCs w:val="16"/>
      </w:rPr>
      <w:fldChar w:fldCharType="separate"/>
    </w:r>
    <w:r w:rsidR="00D734D4">
      <w:rPr>
        <w:noProof/>
        <w:sz w:val="16"/>
        <w:szCs w:val="16"/>
      </w:rPr>
      <w:t>2</w:t>
    </w:r>
    <w:r w:rsidR="00604336" w:rsidRPr="00E533E1">
      <w:rPr>
        <w:sz w:val="16"/>
        <w:szCs w:val="16"/>
      </w:rPr>
      <w:fldChar w:fldCharType="end"/>
    </w:r>
    <w:r>
      <w:rPr>
        <w:sz w:val="16"/>
      </w:rPr>
      <w:t>/</w:t>
    </w:r>
    <w:r w:rsidR="00604336" w:rsidRPr="00E533E1">
      <w:rPr>
        <w:sz w:val="16"/>
        <w:szCs w:val="16"/>
      </w:rPr>
      <w:fldChar w:fldCharType="begin"/>
    </w:r>
    <w:r w:rsidR="00441DA9" w:rsidRPr="00E533E1">
      <w:rPr>
        <w:sz w:val="16"/>
        <w:szCs w:val="16"/>
      </w:rPr>
      <w:instrText xml:space="preserve"> </w:instrText>
    </w:r>
    <w:r w:rsidR="00441DA9">
      <w:rPr>
        <w:sz w:val="16"/>
        <w:szCs w:val="16"/>
      </w:rPr>
      <w:instrText>NUMPAGES</w:instrText>
    </w:r>
    <w:r w:rsidR="00441DA9" w:rsidRPr="00E533E1">
      <w:rPr>
        <w:sz w:val="16"/>
        <w:szCs w:val="16"/>
      </w:rPr>
      <w:instrText xml:space="preserve"> </w:instrText>
    </w:r>
    <w:r w:rsidR="00604336" w:rsidRPr="00E533E1">
      <w:rPr>
        <w:sz w:val="16"/>
        <w:szCs w:val="16"/>
      </w:rPr>
      <w:fldChar w:fldCharType="separate"/>
    </w:r>
    <w:r w:rsidR="00D734D4">
      <w:rPr>
        <w:noProof/>
        <w:sz w:val="16"/>
        <w:szCs w:val="16"/>
      </w:rPr>
      <w:t>6</w:t>
    </w:r>
    <w:r w:rsidR="00604336" w:rsidRPr="00E533E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A38" w:rsidRDefault="00214A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0A" w:rsidRDefault="0034690A" w:rsidP="006E3B6D">
      <w:r>
        <w:separator/>
      </w:r>
    </w:p>
  </w:footnote>
  <w:footnote w:type="continuationSeparator" w:id="0">
    <w:p w:rsidR="0034690A" w:rsidRDefault="0034690A" w:rsidP="006E3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A9" w:rsidRDefault="0034690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A9" w:rsidRDefault="00441DA9">
    <w:pPr>
      <w:pStyle w:val="Kopfzeile"/>
    </w:pPr>
    <w:r>
      <w:rPr>
        <w:noProof/>
        <w:lang w:val="de-DE" w:eastAsia="de-DE" w:bidi="ar-SA"/>
      </w:rPr>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560310" cy="10685145"/>
          <wp:effectExtent l="19050" t="0" r="2540" b="0"/>
          <wp:wrapNone/>
          <wp:docPr id="5" name="Bild 2" descr="C:\Users\Klemens\Desktop\Fronius Logos\EN_HG_weiß_DI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Users\Klemens\Desktop\Fronius Logos\EN_HG_weiß_DIN.emf"/>
                  <pic:cNvPicPr>
                    <a:picLocks noChangeAspect="1" noChangeArrowheads="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7560310" cy="1068514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A9" w:rsidRDefault="0034690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80B19"/>
    <w:rsid w:val="0000461F"/>
    <w:rsid w:val="0000472D"/>
    <w:rsid w:val="00031DE8"/>
    <w:rsid w:val="000478A3"/>
    <w:rsid w:val="00050216"/>
    <w:rsid w:val="00064463"/>
    <w:rsid w:val="00070C59"/>
    <w:rsid w:val="000810EA"/>
    <w:rsid w:val="000910BB"/>
    <w:rsid w:val="000A1959"/>
    <w:rsid w:val="000A7199"/>
    <w:rsid w:val="000E56AD"/>
    <w:rsid w:val="00101943"/>
    <w:rsid w:val="001714CB"/>
    <w:rsid w:val="00171AB7"/>
    <w:rsid w:val="00175C01"/>
    <w:rsid w:val="00183355"/>
    <w:rsid w:val="0019481B"/>
    <w:rsid w:val="001C558C"/>
    <w:rsid w:val="002014EE"/>
    <w:rsid w:val="00214A38"/>
    <w:rsid w:val="002341EB"/>
    <w:rsid w:val="00245A64"/>
    <w:rsid w:val="0025738A"/>
    <w:rsid w:val="00261680"/>
    <w:rsid w:val="0027339D"/>
    <w:rsid w:val="00282337"/>
    <w:rsid w:val="002C20DF"/>
    <w:rsid w:val="002E037F"/>
    <w:rsid w:val="002E47EA"/>
    <w:rsid w:val="002E6494"/>
    <w:rsid w:val="002F18B6"/>
    <w:rsid w:val="00312127"/>
    <w:rsid w:val="00317E96"/>
    <w:rsid w:val="00317F40"/>
    <w:rsid w:val="00333F7E"/>
    <w:rsid w:val="0034690A"/>
    <w:rsid w:val="00380B19"/>
    <w:rsid w:val="003B6E2F"/>
    <w:rsid w:val="003C3A3A"/>
    <w:rsid w:val="003C48DB"/>
    <w:rsid w:val="003D671C"/>
    <w:rsid w:val="003F394F"/>
    <w:rsid w:val="004334D9"/>
    <w:rsid w:val="00441DA9"/>
    <w:rsid w:val="00450D8B"/>
    <w:rsid w:val="0047666F"/>
    <w:rsid w:val="004808BD"/>
    <w:rsid w:val="004A3088"/>
    <w:rsid w:val="004A612A"/>
    <w:rsid w:val="004B1501"/>
    <w:rsid w:val="004C387E"/>
    <w:rsid w:val="004D1A5C"/>
    <w:rsid w:val="00502892"/>
    <w:rsid w:val="0052520C"/>
    <w:rsid w:val="00537E98"/>
    <w:rsid w:val="00566D84"/>
    <w:rsid w:val="00573F6E"/>
    <w:rsid w:val="005D07DC"/>
    <w:rsid w:val="005F31B1"/>
    <w:rsid w:val="00604336"/>
    <w:rsid w:val="00607DB2"/>
    <w:rsid w:val="0062244D"/>
    <w:rsid w:val="00626D0F"/>
    <w:rsid w:val="00634221"/>
    <w:rsid w:val="00640E74"/>
    <w:rsid w:val="0065214D"/>
    <w:rsid w:val="006C715E"/>
    <w:rsid w:val="006D1199"/>
    <w:rsid w:val="006E3B6D"/>
    <w:rsid w:val="006F4ECA"/>
    <w:rsid w:val="00756357"/>
    <w:rsid w:val="007A714E"/>
    <w:rsid w:val="007B26CE"/>
    <w:rsid w:val="007B3E82"/>
    <w:rsid w:val="007C30F8"/>
    <w:rsid w:val="007C62BD"/>
    <w:rsid w:val="007E096D"/>
    <w:rsid w:val="007E6D7F"/>
    <w:rsid w:val="007F0892"/>
    <w:rsid w:val="008001E7"/>
    <w:rsid w:val="00814087"/>
    <w:rsid w:val="00814ACB"/>
    <w:rsid w:val="00825A50"/>
    <w:rsid w:val="00825CD3"/>
    <w:rsid w:val="0083730C"/>
    <w:rsid w:val="008527B9"/>
    <w:rsid w:val="00864220"/>
    <w:rsid w:val="00874EC0"/>
    <w:rsid w:val="008B7DE7"/>
    <w:rsid w:val="008E1ACC"/>
    <w:rsid w:val="008E1ED5"/>
    <w:rsid w:val="0090335B"/>
    <w:rsid w:val="00906DA0"/>
    <w:rsid w:val="00916FED"/>
    <w:rsid w:val="009341B0"/>
    <w:rsid w:val="00935512"/>
    <w:rsid w:val="009549A2"/>
    <w:rsid w:val="009622CA"/>
    <w:rsid w:val="00962DF4"/>
    <w:rsid w:val="009966A9"/>
    <w:rsid w:val="009A3667"/>
    <w:rsid w:val="009A413A"/>
    <w:rsid w:val="009C25EB"/>
    <w:rsid w:val="009C4C15"/>
    <w:rsid w:val="00A27A8D"/>
    <w:rsid w:val="00A36805"/>
    <w:rsid w:val="00A36FD1"/>
    <w:rsid w:val="00A44680"/>
    <w:rsid w:val="00A67248"/>
    <w:rsid w:val="00A67DE0"/>
    <w:rsid w:val="00A80A01"/>
    <w:rsid w:val="00A9629B"/>
    <w:rsid w:val="00AA20EE"/>
    <w:rsid w:val="00AA2155"/>
    <w:rsid w:val="00AB347A"/>
    <w:rsid w:val="00AD518D"/>
    <w:rsid w:val="00B030E5"/>
    <w:rsid w:val="00B3059C"/>
    <w:rsid w:val="00B51BFF"/>
    <w:rsid w:val="00B55DED"/>
    <w:rsid w:val="00B715A5"/>
    <w:rsid w:val="00B96D23"/>
    <w:rsid w:val="00BB3E99"/>
    <w:rsid w:val="00BC7FF5"/>
    <w:rsid w:val="00BD1E79"/>
    <w:rsid w:val="00BD3229"/>
    <w:rsid w:val="00BE5CED"/>
    <w:rsid w:val="00C059BC"/>
    <w:rsid w:val="00C158C4"/>
    <w:rsid w:val="00C2721E"/>
    <w:rsid w:val="00C53D53"/>
    <w:rsid w:val="00C8149D"/>
    <w:rsid w:val="00C8722B"/>
    <w:rsid w:val="00CA1F1B"/>
    <w:rsid w:val="00CA7575"/>
    <w:rsid w:val="00CB0086"/>
    <w:rsid w:val="00CB0794"/>
    <w:rsid w:val="00CD4B44"/>
    <w:rsid w:val="00CE5CCC"/>
    <w:rsid w:val="00D00E31"/>
    <w:rsid w:val="00D03106"/>
    <w:rsid w:val="00D15044"/>
    <w:rsid w:val="00D1668C"/>
    <w:rsid w:val="00D174F3"/>
    <w:rsid w:val="00D46D08"/>
    <w:rsid w:val="00D4755E"/>
    <w:rsid w:val="00D734D4"/>
    <w:rsid w:val="00D74AB9"/>
    <w:rsid w:val="00D7686C"/>
    <w:rsid w:val="00D94A58"/>
    <w:rsid w:val="00DB1DF2"/>
    <w:rsid w:val="00DB1E2F"/>
    <w:rsid w:val="00DB4431"/>
    <w:rsid w:val="00DC67C0"/>
    <w:rsid w:val="00DD5EE1"/>
    <w:rsid w:val="00E201E2"/>
    <w:rsid w:val="00E21892"/>
    <w:rsid w:val="00E31A45"/>
    <w:rsid w:val="00E34C75"/>
    <w:rsid w:val="00E36441"/>
    <w:rsid w:val="00E460F8"/>
    <w:rsid w:val="00E55635"/>
    <w:rsid w:val="00E67F16"/>
    <w:rsid w:val="00E74ABC"/>
    <w:rsid w:val="00EB41D7"/>
    <w:rsid w:val="00EB4DBA"/>
    <w:rsid w:val="00EC4A9E"/>
    <w:rsid w:val="00ED2971"/>
    <w:rsid w:val="00F04A93"/>
    <w:rsid w:val="00F07EAA"/>
    <w:rsid w:val="00F20049"/>
    <w:rsid w:val="00F261E6"/>
    <w:rsid w:val="00F327EF"/>
    <w:rsid w:val="00F47A79"/>
    <w:rsid w:val="00F76985"/>
    <w:rsid w:val="00FA34DF"/>
    <w:rsid w:val="00FF58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0257A3B-A4B7-4F59-9C9A-37B95EDF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1B3"/>
    <w:rPr>
      <w:rFonts w:ascii="Arial" w:hAnsi="Arial"/>
      <w:szCs w:val="24"/>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en-GB" w:eastAsia="en-GB" w:bidi="en-GB"/>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en-GB" w:eastAsia="en-GB" w:bidi="en-GB"/>
    </w:rPr>
  </w:style>
  <w:style w:type="character" w:styleId="Fett">
    <w:name w:val="Strong"/>
    <w:basedOn w:val="Absatz-Standardschriftart"/>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A5C"/>
    <w:rPr>
      <w:rFonts w:ascii="Tahoma" w:hAnsi="Tahoma" w:cs="Tahoma"/>
      <w:sz w:val="16"/>
      <w:szCs w:val="16"/>
      <w:lang w:val="en-GB" w:eastAsia="en-GB"/>
    </w:rPr>
  </w:style>
  <w:style w:type="character" w:styleId="Kommentarzeichen">
    <w:name w:val="annotation reference"/>
    <w:basedOn w:val="Absatz-Standardschriftart"/>
    <w:uiPriority w:val="99"/>
    <w:semiHidden/>
    <w:unhideWhenUsed/>
    <w:rsid w:val="009A413A"/>
    <w:rPr>
      <w:sz w:val="16"/>
      <w:szCs w:val="16"/>
    </w:rPr>
  </w:style>
  <w:style w:type="paragraph" w:styleId="Kommentartext">
    <w:name w:val="annotation text"/>
    <w:basedOn w:val="Standard"/>
    <w:link w:val="KommentartextZchn"/>
    <w:uiPriority w:val="99"/>
    <w:semiHidden/>
    <w:unhideWhenUsed/>
    <w:rsid w:val="009A413A"/>
    <w:rPr>
      <w:szCs w:val="20"/>
    </w:rPr>
  </w:style>
  <w:style w:type="character" w:customStyle="1" w:styleId="KommentartextZchn">
    <w:name w:val="Kommentartext Zchn"/>
    <w:basedOn w:val="Absatz-Standardschriftart"/>
    <w:link w:val="Kommentartext"/>
    <w:uiPriority w:val="99"/>
    <w:semiHidden/>
    <w:rsid w:val="009A413A"/>
    <w:rPr>
      <w:rFonts w:ascii="Arial" w:hAnsi="Arial"/>
      <w:lang w:val="en-GB" w:eastAsia="en-GB"/>
    </w:rPr>
  </w:style>
  <w:style w:type="paragraph" w:styleId="Kommentarthema">
    <w:name w:val="annotation subject"/>
    <w:basedOn w:val="Kommentartext"/>
    <w:next w:val="Kommentartext"/>
    <w:link w:val="KommentarthemaZchn"/>
    <w:uiPriority w:val="99"/>
    <w:semiHidden/>
    <w:unhideWhenUsed/>
    <w:rsid w:val="009A413A"/>
    <w:rPr>
      <w:b/>
      <w:bCs/>
    </w:rPr>
  </w:style>
  <w:style w:type="character" w:customStyle="1" w:styleId="KommentarthemaZchn">
    <w:name w:val="Kommentarthema Zchn"/>
    <w:basedOn w:val="KommentartextZchn"/>
    <w:link w:val="Kommentarthema"/>
    <w:uiPriority w:val="99"/>
    <w:semiHidden/>
    <w:rsid w:val="009A413A"/>
    <w:rPr>
      <w:rFonts w:ascii="Arial" w:hAnsi="Arial"/>
      <w:b/>
      <w:bCs/>
      <w:lang w:val="en-GB" w:eastAsia="en-GB"/>
    </w:rPr>
  </w:style>
  <w:style w:type="character" w:styleId="Hyperlink">
    <w:name w:val="Hyperlink"/>
    <w:semiHidden/>
    <w:unhideWhenUsed/>
    <w:rsid w:val="00E55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jpeg"/><Relationship Id="rId26" Type="http://schemas.openxmlformats.org/officeDocument/2006/relationships/hyperlink" Target="http://www.youtube.com/FroniusCharging" TargetMode="External"/><Relationship Id="rId21" Type="http://schemas.openxmlformats.org/officeDocument/2006/relationships/image" Target="media/image10.jpe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hyperlink" Target="http://www.fronius.com/intralogistics"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adams.ross@froni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perfect.charging@fronius.com" TargetMode="External"/><Relationship Id="rId32" Type="http://schemas.openxmlformats.org/officeDocument/2006/relationships/theme" Target="theme/theme1.xml"/><Relationship Id="rId37"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mailto:adams.ross@fronius.com" TargetMode="External"/><Relationship Id="rId36"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3.png"/><Relationship Id="rId30" Type="http://schemas.openxmlformats.org/officeDocument/2006/relationships/hyperlink" Target="mailto:kirsten.ludwig@a1kommunikation.de" TargetMode="External"/><Relationship Id="rId35"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Press-Templates\DE_press_standard-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le_TI_PT xmlns="dc0c2c3d-e9fc-4a0d-820b-87ab82e65f20">Reference AMAG Austria Metall</title_TI_PT>
    <Documenttype_RU xmlns="dc0c2c3d-e9fc-4a0d-820b-87ab82e65f20">Пресс-релиз</Documenttype_RU>
    <Documenttype_UA xmlns="dc0c2c3d-e9fc-4a0d-820b-87ab82e65f20">Прес-релізи</Documenttype_UA>
    <p698a7a1dd324fdc9fd05d4ada0994df xmlns="cd09b918-ecb4-45b3-b9e1-233bfdc653ca">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71e5a4f0-0757-4fab-a12c-3089e9946ab2</TermId>
        </TermInfo>
      </Terms>
    </p698a7a1dd324fdc9fd05d4ada0994df>
    <DocArticleNumber xmlns="dc0c2c3d-e9fc-4a0d-820b-87ab82e65f20" xsi:nil="true"/>
    <title_TI_DA xmlns="dc0c2c3d-e9fc-4a0d-820b-87ab82e65f20">Reference AMAG Austria Metall</title_TI_DA>
    <title_TI_TR xmlns="dc0c2c3d-e9fc-4a0d-820b-87ab82e65f20">Reference AMAG Austria Metall</title_TI_TR>
    <Documenttype_ES xmlns="dc0c2c3d-e9fc-4a0d-820b-87ab82e65f20">Información de prensa</Documenttype_ES>
    <title_TI_ES xmlns="dc0c2c3d-e9fc-4a0d-820b-87ab82e65f20">Reference AMAG Austria Metall</title_TI_ES>
    <Documenttype_TR xmlns="dc0c2c3d-e9fc-4a0d-820b-87ab82e65f20">Basın bülteni</Documenttype_TR>
    <VersionInternal xmlns="dc0c2c3d-e9fc-4a0d-820b-87ab82e65f20" xsi:nil="true"/>
    <TaxCatchAll xmlns="92f60987-cbcc-4245-baaf-239af3bfd6e8">
      <Value>252</Value>
      <Value>1581</Value>
    </TaxCatchAll>
    <Country xmlns="dc0c2c3d-e9fc-4a0d-820b-87ab82e65f20">
      <Value>5</Value>
      <Value>6</Value>
      <Value>7</Value>
      <Value>8</Value>
      <Value>9</Value>
      <Value>10</Value>
      <Value>11</Value>
      <Value>12</Value>
      <Value>13</Value>
      <Value>15</Value>
      <Value>16</Value>
      <Value>17</Value>
      <Value>18</Value>
      <Value>19</Value>
      <Value>20</Value>
      <Value>21</Value>
      <Value>22</Value>
      <Value>23</Value>
      <Value>24</Value>
      <Value>25</Value>
      <Value>26</Value>
      <Value>27</Value>
      <Value>28</Value>
      <Value>29</Value>
      <Value>30</Value>
      <Value>31</Value>
      <Value>32</Value>
      <Value>33</Value>
      <Value>34</Value>
      <Value>35</Value>
      <Value>36</Value>
      <Value>37</Value>
      <Value>38</Value>
      <Value>39</Value>
      <Value>40</Value>
      <Value>41</Value>
      <Value>42</Value>
      <Value>43</Value>
      <Value>44</Value>
      <Value>46</Value>
      <Value>47</Value>
      <Value>50</Value>
      <Value>51</Value>
      <Value>53</Value>
    </Country>
    <title_TI_DE xmlns="dc0c2c3d-e9fc-4a0d-820b-87ab82e65f20">Referenz AMAG Austria Metall</title_TI_DE>
    <title_TI_EA xmlns="dc0c2c3d-e9fc-4a0d-820b-87ab82e65f20">BCS_PI_user report_AMAG Austria Metall_EN</title_TI_EA>
    <title_TI_HU xmlns="dc0c2c3d-e9fc-4a0d-820b-87ab82e65f20">Reference AMAG Austria Metall</title_TI_HU>
    <AGB xmlns="dc0c2c3d-e9fc-4a0d-820b-87ab82e65f20">false</AGB>
    <MRMKeyWords xmlns="dc0c2c3d-e9fc-4a0d-820b-87ab82e65f20">#press #amag #austriametall #reference</MRMKeyWords>
    <Documenttype_TH xmlns="dc0c2c3d-e9fc-4a0d-820b-87ab82e65f20">ข่าวประชาสัมพันธ์</Documenttype_TH>
    <Documenttype_NL xmlns="dc0c2c3d-e9fc-4a0d-820b-87ab82e65f20">Persbericht</Documenttype_NL>
    <Documenttype_NO xmlns="dc0c2c3d-e9fc-4a0d-820b-87ab82e65f20">Presseinformasjon</Documenttype_NO>
    <Documenttype_SK xmlns="dc0c2c3d-e9fc-4a0d-820b-87ab82e65f20">Tlačová informácia</Documenttype_SK>
    <title_TI_SK xmlns="dc0c2c3d-e9fc-4a0d-820b-87ab82e65f20">Reference AMAG Austria Metall</title_TI_SK>
    <title_TI_IT xmlns="dc0c2c3d-e9fc-4a0d-820b-87ab82e65f20">Reference AMAG Austria Metall</title_TI_IT>
    <Division xmlns="dc0c2c3d-e9fc-4a0d-820b-87ab82e65f20">Perfect Charging</Division>
    <title_TI_UA xmlns="dc0c2c3d-e9fc-4a0d-820b-87ab82e65f20">Reference AMAG Austria Metall</title_TI_UA>
    <Documenttype_EL xmlns="dc0c2c3d-e9fc-4a0d-820b-87ab82e65f20">Δελτίο τύπου</Documenttype_EL>
    <Documenttype_PT xmlns="dc0c2c3d-e9fc-4a0d-820b-87ab82e65f20">Comunicado à imprensa</Documenttype_PT>
    <title_TI_FR xmlns="dc0c2c3d-e9fc-4a0d-820b-87ab82e65f20">Reference AMAG Austria Metall</title_TI_FR>
    <MRMID xmlns="dc0c2c3d-e9fc-4a0d-820b-87ab82e65f20" xsi:nil="true"/>
    <title_TI_CS xmlns="dc0c2c3d-e9fc-4a0d-820b-87ab82e65f20">Reference AMAG Austria Metall</title_TI_CS>
    <Documenttype_FR xmlns="dc0c2c3d-e9fc-4a0d-820b-87ab82e65f20">Communiqué de presse</Documenttype_FR>
    <Documenttype_EN xmlns="dc0c2c3d-e9fc-4a0d-820b-87ab82e65f20">Press Release</Documenttype_EN>
    <title_TI_NL xmlns="dc0c2c3d-e9fc-4a0d-820b-87ab82e65f20">Reference AMAG Austria Metall</title_TI_NL>
    <title_TI_PL xmlns="dc0c2c3d-e9fc-4a0d-820b-87ab82e65f20">Reference AMAG Austria Metall</title_TI_PL>
    <title_TI_TH xmlns="dc0c2c3d-e9fc-4a0d-820b-87ab82e65f20">Reference AMAG Austria Metall</title_TI_TH>
    <Documenttype_DA xmlns="dc0c2c3d-e9fc-4a0d-820b-87ab82e65f20">Presseinformationer</Documenttype_DA>
    <Documenttype_HU xmlns="dc0c2c3d-e9fc-4a0d-820b-87ab82e65f20">Sajtóinformáció</Documenttype_HU>
    <title_TI_RU xmlns="dc0c2c3d-e9fc-4a0d-820b-87ab82e65f20">Reference AMAG Austria Metall</title_TI_RU>
    <Documenttype_PL xmlns="dc0c2c3d-e9fc-4a0d-820b-87ab82e65f20">Informacja prasowe</Documenttype_PL>
    <title_TI_NO xmlns="dc0c2c3d-e9fc-4a0d-820b-87ab82e65f20">Reference AMAG Austria Metall</title_TI_NO>
    <l67a679918f5484e8f458468bb061236 xmlns="dc0c2c3d-e9fc-4a0d-820b-87ab82e65f20">
      <Terms xmlns="http://schemas.microsoft.com/office/infopath/2007/PartnerControls">
        <TermInfo xmlns="http://schemas.microsoft.com/office/infopath/2007/PartnerControls">
          <TermName xmlns="http://schemas.microsoft.com/office/infopath/2007/PartnerControls">Ladegeräte für Bleibatterien</TermName>
          <TermId xmlns="http://schemas.microsoft.com/office/infopath/2007/PartnerControls">c9aa9d01-9923-4a05-a774-dc5be92e0865</TermId>
        </TermInfo>
      </Terms>
    </l67a679918f5484e8f458468bb061236>
    <title_TI_EL xmlns="dc0c2c3d-e9fc-4a0d-820b-87ab82e65f20">Reference AMAG Austria Metall</title_TI_EL>
    <ArticleNumber xmlns="dc0c2c3d-e9fc-4a0d-820b-87ab82e65f20">0;4,010,306;4,010,308;4,010,325;4,010,326;4,010,327;4,010,328;4,010,329;4,010,460;4,010,461;4,010,462;4,010,463;4,010,464;4,010,465;4,010,405;4,010,466;4,010,400;4,010,401;4,010,402;4,010,403;4,010,404;4,010,470;4,010,471;4,010,473;4,010,474;4,010,410;4,010,411;4,010,412;4,010,413;4,010,414;4,010,415;4,010,420;4,010,421;4,010,422;4,010,423;4,010,430;4,010,431;4,010,432;4,010,433;</ArticleNumber>
    <Documenttype_JA xmlns="dc0c2c3d-e9fc-4a0d-820b-87ab82e65f20">ニュースリリース</Documenttype_JA>
    <Documenttype_DE xmlns="dc0c2c3d-e9fc-4a0d-820b-87ab82e65f20">Presseinformation</Documenttype_DE>
    <Documenttype_EA xmlns="dc0c2c3d-e9fc-4a0d-820b-87ab82e65f20">Press Release</Documenttype_EA>
    <title_TI_JA xmlns="dc0c2c3d-e9fc-4a0d-820b-87ab82e65f20">Reference AMAG Austria Metall</title_TI_JA>
    <Documenttype_IT xmlns="dc0c2c3d-e9fc-4a0d-820b-87ab82e65f20">Comunicato stampa</Documenttype_IT>
    <Country_x0020_Quick_x0020_Select xmlns="dc0c2c3d-e9fc-4a0d-820b-87ab82e65f20">Select...</Country_x0020_Quick_x0020_Select>
    <title_TI_EN xmlns="dc0c2c3d-e9fc-4a0d-820b-87ab82e65f20">Reference AMAG Austria Metall</title_TI_EN>
    <Documenttype_CS xmlns="dc0c2c3d-e9fc-4a0d-820b-87ab82e65f20">Tisková zpráva</Documenttype_CS>
    <TitelInternal xmlns="dc0c2c3d-e9fc-4a0d-820b-87ab82e65f20">BCS_PI_user report_AMAG Austria Metall_EN</TitelInternal>
    <_dlc_DocId xmlns="92f60987-cbcc-4245-baaf-239af3bfd6e8">3457UUQQYVA2-1595005630-589</_dlc_DocId>
    <_dlc_DocIdUrl xmlns="92f60987-cbcc-4245-baaf-239af3bfd6e8">
      <Url>https://downloads.fronius.com/_layouts/15/DocIdRedir.aspx?ID=3457UUQQYVA2-1595005630-589</Url>
      <Description>3457UUQQYVA2-1595005630-589</Description>
    </_dlc_DocIdUrl>
    <Update xmlns="dc0c2c3d-e9fc-4a0d-820b-87ab82e65f20">050620</Update>
    <m5uy xmlns="cd09b918-ecb4-45b3-b9e1-233bfdc653ca" xsi:nil="true"/>
    <title_ti_nb xmlns="dc0c2c3d-e9fc-4a0d-820b-87ab82e65f20">BCS_PI_user report_AMAG Austria Metall_EN</title_ti_nb>
    <title_ti_uk xmlns="dc0c2c3d-e9fc-4a0d-820b-87ab82e65f20">BCS_PI_user report_AMAG Austria Metall_EN</title_ti_uk>
    <Documenttype_UK xmlns="dc0c2c3d-e9fc-4a0d-820b-87ab82e65f20">Press Release</Documenttype_UK>
    <Documenttype_NB xmlns="dc0c2c3d-e9fc-4a0d-820b-87ab82e65f20">Press Release</Documenttype_NB>
    <Web_x0020_Display_x0020_Title_x0020_ET xmlns="dc0c2c3d-e9fc-4a0d-820b-87ab82e65f20">Reference AMAG Austria Metall</Web_x0020_Display_x0020_Title_x0020_ET>
    <title_TI_CN xmlns="dc0c2c3d-e9fc-4a0d-820b-87ab82e65f20">User Report AMAG</title_TI_CN>
    <title_TI_JP xmlns="dc0c2c3d-e9fc-4a0d-820b-87ab82e65f20">User Report AMAG</title_TI_JP>
    <title_TI_AR xmlns="dc0c2c3d-e9fc-4a0d-820b-87ab82e65f20">Reference AMAG Austria Metall</title_TI_AR>
    <title_ti_zh xmlns="dc0c2c3d-e9fc-4a0d-820b-87ab82e65f20">Reference AMAG Austria Metall</title_ti_zh>
    <countryok xmlns="dc0c2c3d-e9fc-4a0d-820b-87ab82e65f20">true</countryok>
    <FileMaster xmlns="dc0c2c3d-e9fc-4a0d-820b-87ab82e65f20" xsi:nil="true"/>
    <fro_spid xmlns="dc0c2c3d-e9fc-4a0d-820b-87ab82e65f20">589;PC</fro_spid>
    <nj3i xmlns="cd09b918-ecb4-45b3-b9e1-233bfdc653ca" xsi:nil="true"/>
    <icfaae38c4274413b390559439863f3e xmlns="dc0c2c3d-e9fc-4a0d-820b-87ab82e65f20">
      <Terms xmlns="http://schemas.microsoft.com/office/infopath/2007/PartnerControls"/>
    </icfaae38c4274413b390559439863f3e>
    <FSM xmlns="dc0c2c3d-e9fc-4a0d-820b-87ab82e65f20">false</FSM>
    <Resolution xmlns="dc0c2c3d-e9fc-4a0d-820b-87ab82e65f20" xsi:nil="true"/>
    <Colour_x0020_space xmlns="dc0c2c3d-e9fc-4a0d-820b-87ab82e65f20" xsi:nil="true"/>
    <Licence_x0020_information xmlns="dc0c2c3d-e9fc-4a0d-820b-87ab82e65f20">(c) Fronius International</Licence_x0020_information>
    <title_TI_SV xmlns="dc0c2c3d-e9fc-4a0d-820b-87ab82e65f20">Reference AMAG Austria Metall</title_TI_SV>
    <download-count xmlns="dc0c2c3d-e9fc-4a0d-820b-87ab82e65f20" xsi:nil="true"/>
    <title_ti_fi xmlns="dc0c2c3d-e9fc-4a0d-820b-87ab82e65f20">Reference AMAG Austria Metall</title_ti_fi>
    <FroCountryExclusive xmlns="dc0c2c3d-e9fc-4a0d-820b-87ab82e65f20">No</FroCountryExclusive>
    <contentservId xmlns="cd09b918-ecb4-45b3-b9e1-233bfdc653ca" xsi:nil="true"/>
    <title_TI_RO xmlns="dc0c2c3d-e9fc-4a0d-820b-87ab82e65f20"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C030B2479503746839CEADACC26594F" ma:contentTypeVersion="154" ma:contentTypeDescription="" ma:contentTypeScope="" ma:versionID="15c4137d4472af7d42e454db7fe478a2">
  <xsd:schema xmlns:xsd="http://www.w3.org/2001/XMLSchema" xmlns:xs="http://www.w3.org/2001/XMLSchema" xmlns:p="http://schemas.microsoft.com/office/2006/metadata/properties" xmlns:ns2="dc0c2c3d-e9fc-4a0d-820b-87ab82e65f20" xmlns:ns3="cd09b918-ecb4-45b3-b9e1-233bfdc653ca" xmlns:ns4="92f60987-cbcc-4245-baaf-239af3bfd6e8" targetNamespace="http://schemas.microsoft.com/office/2006/metadata/properties" ma:root="true" ma:fieldsID="934dc3bedbd5295be17eee4398359fc2" ns2:_="" ns3:_="" ns4:_="">
    <xsd:import namespace="dc0c2c3d-e9fc-4a0d-820b-87ab82e65f20"/>
    <xsd:import namespace="cd09b918-ecb4-45b3-b9e1-233bfdc653ca"/>
    <xsd:import namespace="92f60987-cbcc-4245-baaf-239af3bfd6e8"/>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4:TaxCatchAl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TaxCatchAllLabel" minOccurs="0"/>
                <xsd:element ref="ns3:p698a7a1dd324fdc9fd05d4ada0994df" minOccurs="0"/>
                <xsd:element ref="ns2:Documenttype_EA" minOccurs="0"/>
                <xsd:element ref="ns4:_dlc_DocId" minOccurs="0"/>
                <xsd:element ref="ns2:Update" minOccurs="0"/>
                <xsd:element ref="ns3:m5uy" minOccurs="0"/>
                <xsd:element ref="ns2:TitelInternal" minOccurs="0"/>
                <xsd:element ref="ns2:l67a679918f5484e8f458468bb061236" minOccurs="0"/>
                <xsd:element ref="ns2:Documenttype_NB" minOccurs="0"/>
                <xsd:element ref="ns2:Documenttype_UK" minOccurs="0"/>
                <xsd:element ref="ns2:ArticleNumber" minOccurs="0"/>
                <xsd:element ref="ns4:_dlc_DocIdUrl" minOccurs="0"/>
                <xsd:element ref="ns4:_dlc_DocIdPersistId" minOccurs="0"/>
                <xsd:element ref="ns2:title_TI_JP" minOccurs="0"/>
                <xsd:element ref="ns2:SharedWithUsers" minOccurs="0"/>
                <xsd:element ref="ns2:FileMaster" minOccurs="0"/>
                <xsd:element ref="ns2:fro_spid" minOccurs="0"/>
                <xsd:element ref="ns3:nj3i"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2:title_ti_uk" minOccurs="0"/>
                <xsd:element ref="ns2:download-count" minOccurs="0"/>
                <xsd:element ref="ns2:title_TI_EA" minOccurs="0"/>
                <xsd:element ref="ns2:title_TI_CN" minOccurs="0"/>
                <xsd:element ref="ns3: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41" nillable="true" ma:displayName="Documenttype_NO" ma:hidden="true" ma:internalName="Documenttype_NO" ma:readOnly="false">
      <xsd:simpleType>
        <xsd:restriction base="dms:Text">
          <xsd:maxLength value="255"/>
        </xsd:restriction>
      </xsd:simpleType>
    </xsd:element>
    <xsd:element name="Documenttype_ES" ma:index="42" nillable="true" ma:displayName="Documenttype_ES" ma:hidden="true" ma:internalName="Documenttype_ES" ma:readOnly="false">
      <xsd:simpleType>
        <xsd:restriction base="dms:Text">
          <xsd:maxLength value="255"/>
        </xsd:restriction>
      </xsd:simpleType>
    </xsd:element>
    <xsd:element name="Documenttype_PL" ma:index="43" nillable="true" ma:displayName="Documenttype_PL" ma:hidden="true" ma:internalName="Documenttype_PL" ma:readOnly="false">
      <xsd:simpleType>
        <xsd:restriction base="dms:Text">
          <xsd:maxLength value="255"/>
        </xsd:restriction>
      </xsd:simpleType>
    </xsd:element>
    <xsd:element name="Documenttype_EL" ma:index="44" nillable="true" ma:displayName="Documenttype_EL" ma:hidden="true" ma:internalName="Documenttype_EL" ma:readOnly="false">
      <xsd:simpleType>
        <xsd:restriction base="dms:Text">
          <xsd:maxLength value="255"/>
        </xsd:restriction>
      </xsd:simpleType>
    </xsd:element>
    <xsd:element name="Documenttype_FR" ma:index="45" nillable="true" ma:displayName="Documenttype_FR" ma:hidden="true" ma:internalName="Documenttype_FR" ma:readOnly="false">
      <xsd:simpleType>
        <xsd:restriction base="dms:Text">
          <xsd:maxLength value="255"/>
        </xsd:restriction>
      </xsd:simpleType>
    </xsd:element>
    <xsd:element name="Documenttype_IT" ma:index="46" nillable="true" ma:displayName="Documenttype_IT" ma:hidden="true" ma:internalName="Documenttype_IT" ma:readOnly="false">
      <xsd:simpleType>
        <xsd:restriction base="dms:Text">
          <xsd:maxLength value="255"/>
        </xsd:restriction>
      </xsd:simpleType>
    </xsd:element>
    <xsd:element name="Documenttype_TH" ma:index="47" nillable="true" ma:displayName="Documenttype_TH" ma:hidden="true" ma:internalName="Documenttype_TH" ma:readOnly="false">
      <xsd:simpleType>
        <xsd:restriction base="dms:Text">
          <xsd:maxLength value="255"/>
        </xsd:restriction>
      </xsd:simpleType>
    </xsd:element>
    <xsd:element name="Documenttype_JA" ma:index="48" nillable="true" ma:displayName="Documenttype_JA" ma:hidden="true" ma:internalName="Documenttype_JA" ma:readOnly="false">
      <xsd:simpleType>
        <xsd:restriction base="dms:Text">
          <xsd:maxLength value="255"/>
        </xsd:restriction>
      </xsd:simpleType>
    </xsd:element>
    <xsd:element name="Division" ma:index="49" nillable="true" ma:displayName="Division" ma:default="Perfect Charg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0" nillable="true" ma:displayName="Documenttype_SK" ma:hidden="true" ma:internalName="Documenttype_SK" ma:readOnly="false">
      <xsd:simpleType>
        <xsd:restriction base="dms:Text">
          <xsd:maxLength value="255"/>
        </xsd:restriction>
      </xsd:simpleType>
    </xsd:element>
    <xsd:element name="Documenttype_DE" ma:index="51" nillable="true" ma:displayName="Documenttype_DE" ma:hidden="true" ma:internalName="Documenttype_DE" ma:readOnly="false">
      <xsd:simpleType>
        <xsd:restriction base="dms:Text">
          <xsd:maxLength value="255"/>
        </xsd:restriction>
      </xsd:simpleType>
    </xsd:element>
    <xsd:element name="Documenttype_RU" ma:index="52" nillable="true" ma:displayName="Documenttype_RU" ma:hidden="true" ma:internalName="Documenttype_RU" ma:readOnly="false">
      <xsd:simpleType>
        <xsd:restriction base="dms:Text">
          <xsd:maxLength value="255"/>
        </xsd:restriction>
      </xsd:simpleType>
    </xsd:element>
    <xsd:element name="Documenttype_DA" ma:index="53" nillable="true" ma:displayName="Documenttype_DA" ma:hidden="true" ma:internalName="Documenttype_DA" ma:readOnly="false">
      <xsd:simpleType>
        <xsd:restriction base="dms:Text">
          <xsd:maxLength value="255"/>
        </xsd:restriction>
      </xsd:simpleType>
    </xsd:element>
    <xsd:element name="Documenttype_UA" ma:index="54" nillable="true" ma:displayName="Documenttype_UA" ma:hidden="true" ma:internalName="Documenttype_UA" ma:readOnly="false">
      <xsd:simpleType>
        <xsd:restriction base="dms:Text">
          <xsd:maxLength value="255"/>
        </xsd:restriction>
      </xsd:simpleType>
    </xsd:element>
    <xsd:element name="Documenttype_HU" ma:index="55" nillable="true" ma:displayName="Documenttype_HU" ma:hidden="true" ma:internalName="Documenttype_HU" ma:readOnly="false">
      <xsd:simpleType>
        <xsd:restriction base="dms:Text">
          <xsd:maxLength value="255"/>
        </xsd:restriction>
      </xsd:simpleType>
    </xsd:element>
    <xsd:element name="Documenttype_CS" ma:index="56" nillable="true" ma:displayName="Documenttype_CS" ma:hidden="true" ma:internalName="Documenttype_CS" ma:readOnly="false">
      <xsd:simpleType>
        <xsd:restriction base="dms:Text">
          <xsd:maxLength value="255"/>
        </xsd:restriction>
      </xsd:simpleType>
    </xsd:element>
    <xsd:element name="Documenttype_PT" ma:index="57" nillable="true" ma:displayName="Documenttype_PT" ma:hidden="true" ma:internalName="Documenttype_PT" ma:readOnly="false">
      <xsd:simpleType>
        <xsd:restriction base="dms:Text">
          <xsd:maxLength value="255"/>
        </xsd:restriction>
      </xsd:simpleType>
    </xsd:element>
    <xsd:element name="Documenttype_NL" ma:index="58" nillable="true" ma:displayName="Documenttype_NL" ma:hidden="true" ma:internalName="Documenttype_NL" ma:readOnly="false">
      <xsd:simpleType>
        <xsd:restriction base="dms:Text">
          <xsd:maxLength value="255"/>
        </xsd:restriction>
      </xsd:simpleType>
    </xsd:element>
    <xsd:element name="Documenttype_TR" ma:index="59" nillable="true" ma:displayName="Documenttype_TR" ma:hidden="true" ma:internalName="Documenttype_TR" ma:readOnly="false">
      <xsd:simpleType>
        <xsd:restriction base="dms:Text">
          <xsd:maxLength value="255"/>
        </xsd:restriction>
      </xsd:simpleType>
    </xsd:element>
    <xsd:element name="Documenttype_EN" ma:index="60" nillable="true" ma:displayName="Documenttype_EN" ma:hidden="true" ma:internalName="Documenttype_EN" ma:readOnly="false">
      <xsd:simpleType>
        <xsd:restriction base="dms:Text">
          <xsd:maxLength value="255"/>
        </xsd:restriction>
      </xsd:simpleType>
    </xsd:element>
    <xsd:element name="Documenttype_EA" ma:index="63"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8" nillable="true" ma:displayName="TitelInternal" ma:hidden="true" ma:internalName="TitelInternal" ma:readOnly="false">
      <xsd:simpleType>
        <xsd:restriction base="dms:Text">
          <xsd:maxLength value="255"/>
        </xsd:restriction>
      </xsd:simpleType>
    </xsd:element>
    <xsd:element name="l67a679918f5484e8f458468bb061236" ma:index="69"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cd4e2e64-4d54-4657-b701-a49fa74c367b" ma:open="false" ma:isKeyword="false">
      <xsd:complexType>
        <xsd:sequence>
          <xsd:element ref="pc:Terms" minOccurs="0" maxOccurs="1"/>
        </xsd:sequence>
      </xsd:complexType>
    </xsd:element>
    <xsd:element name="Documenttype_NB" ma:index="70" nillable="true" ma:displayName="Documenttype_NB" ma:hidden="true" ma:internalName="Documenttype_NB" ma:readOnly="false">
      <xsd:simpleType>
        <xsd:restriction base="dms:Text">
          <xsd:maxLength value="255"/>
        </xsd:restriction>
      </xsd:simpleType>
    </xsd:element>
    <xsd:element name="Documenttype_UK" ma:index="71" nillable="true" ma:displayName="Documenttype_UK" ma:hidden="true" ma:internalName="Documenttype_UK" ma:readOnly="false">
      <xsd:simpleType>
        <xsd:restriction base="dms:Text">
          <xsd:maxLength value="255"/>
        </xsd:restriction>
      </xsd:simpleType>
    </xsd:element>
    <xsd:element name="ArticleNumber" ma:index="72" nillable="true" ma:displayName="ItemNumber" ma:hidden="true" ma:internalName="ArticleNumber" ma:readOnly="false">
      <xsd:simpleType>
        <xsd:restriction base="dms:Note"/>
      </xsd:simpleType>
    </xsd:element>
    <xsd:element name="title_TI_JP" ma:index="77" nillable="true" ma:displayName="Web Display Title JP" ma:hidden="true" ma:internalName="title_TI_JP"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8" nillable="true" ma:displayName="Web Display Title NB" ma:hidden="true" ma:internalName="title_ti_nb" ma:readOnly="false">
      <xsd:simpleType>
        <xsd:restriction base="dms:Text">
          <xsd:maxLength value="255"/>
        </xsd:restriction>
      </xsd:simpleType>
    </xsd:element>
    <xsd:element name="title_ti_uk" ma:index="89" nillable="true" ma:displayName="Web Display Title UK" ma:hidden="true" ma:internalName="title_ti_uk"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cd09b918-ecb4-45b3-b9e1-233bfdc653ca" elementFormDefault="qualified">
    <xsd:import namespace="http://schemas.microsoft.com/office/2006/documentManagement/types"/>
    <xsd:import namespace="http://schemas.microsoft.com/office/infopath/2007/PartnerControls"/>
    <xsd:element name="p698a7a1dd324fdc9fd05d4ada0994df" ma:index="62" nillable="true" ma:taxonomy="true" ma:internalName="p698a7a1dd324fdc9fd05d4ada0994df" ma:taxonomyFieldName="Language" ma:displayName="Language" ma:readOnly="false" ma:default="" ma:fieldId="{9698a7a1-dd32-4fdc-9fd0-5d4ada0994df}"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m5uy" ma:index="67" nillable="true" ma:displayName="Datum und Uhrzeit" ma:hidden="true" ma:internalName="m5uy" ma:readOnly="false">
      <xsd:simpleType>
        <xsd:restriction base="dms:DateTime"/>
      </xsd:simpleType>
    </xsd:element>
    <xsd:element name="nj3i" ma:index="81" nillable="true" ma:displayName="Text" ma:hidden="true" ma:internalName="nj3i" ma:readOnly="false">
      <xsd:simpleType>
        <xsd:restriction base="dms:Text"/>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40"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_dlc_DocIdUrl" ma:index="7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e123716-e57e-43df-bff4-d192656f6566" ContentTypeId="0x01" PreviousValue="false"/>
</file>

<file path=customXml/itemProps1.xml><?xml version="1.0" encoding="utf-8"?>
<ds:datastoreItem xmlns:ds="http://schemas.openxmlformats.org/officeDocument/2006/customXml" ds:itemID="{733F9466-FB6C-4D20-884B-FCEF19901935}"/>
</file>

<file path=customXml/itemProps2.xml><?xml version="1.0" encoding="utf-8"?>
<ds:datastoreItem xmlns:ds="http://schemas.openxmlformats.org/officeDocument/2006/customXml" ds:itemID="{396437B7-D67A-4381-A7FF-1EE178EE05A6}"/>
</file>

<file path=customXml/itemProps3.xml><?xml version="1.0" encoding="utf-8"?>
<ds:datastoreItem xmlns:ds="http://schemas.openxmlformats.org/officeDocument/2006/customXml" ds:itemID="{E5A62EA3-3153-4E76-ACFB-33C5A051F167}"/>
</file>

<file path=customXml/itemProps4.xml><?xml version="1.0" encoding="utf-8"?>
<ds:datastoreItem xmlns:ds="http://schemas.openxmlformats.org/officeDocument/2006/customXml" ds:itemID="{0F670B08-9FE0-4BF7-9F7B-BF95EEDDA72A}"/>
</file>

<file path=customXml/itemProps5.xml><?xml version="1.0" encoding="utf-8"?>
<ds:datastoreItem xmlns:ds="http://schemas.openxmlformats.org/officeDocument/2006/customXml" ds:itemID="{F25BE318-F478-4BCD-9585-17F5CB1F352C}"/>
</file>

<file path=customXml/itemProps6.xml><?xml version="1.0" encoding="utf-8"?>
<ds:datastoreItem xmlns:ds="http://schemas.openxmlformats.org/officeDocument/2006/customXml" ds:itemID="{490F3BA7-499D-4C7D-AC18-2B3848A13C46}"/>
</file>

<file path=docProps/app.xml><?xml version="1.0" encoding="utf-8"?>
<Properties xmlns="http://schemas.openxmlformats.org/officeDocument/2006/extended-properties" xmlns:vt="http://schemas.openxmlformats.org/officeDocument/2006/docPropsVTypes">
  <Template>DE_press_standard-template.dotm</Template>
  <TotalTime>0</TotalTime>
  <Pages>6</Pages>
  <Words>1505</Words>
  <Characters>9485</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10969</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2016-07_Fronius_PC_USER REPORT_AMAG Austria Metall_en-UK.DOCX</dc:title>
  <dc:creator>Ringwald Boris</dc:creator>
  <cp:lastModifiedBy>Dollmann Theresa</cp:lastModifiedBy>
  <cp:revision>7</cp:revision>
  <cp:lastPrinted>2015-11-25T13:31:00Z</cp:lastPrinted>
  <dcterms:created xsi:type="dcterms:W3CDTF">2016-07-04T14:33:00Z</dcterms:created>
  <dcterms:modified xsi:type="dcterms:W3CDTF">2016-08-17T11:37:00Z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0x010100D81D3A5E066A7C4C894BF34B3C71E983007C030B2479503746839CEADACC26594F</vt:lpwstr>
  </property>
  <property fmtid="{D5CDD505-2E9C-101B-9397-08002B2CF9AE}" pid="3" name="_dlc_DocIdItemGuid">
    <vt:lpwstr>112e9b23-097c-4ad5-9a6d-80f2eebf9ff7</vt:lpwstr>
  </property>
  <property fmtid="{D5CDD505-2E9C-101B-9397-08002B2CF9AE}" pid="4" name="Products">
    <vt:lpwstr>1581;#BATTERY CHARGING SYSTEMS FOR LEAD BATTERIES|c9aa9d01-9923-4a05-a774-dc5be92e0865;#1582;#Battery charging systems for 12 V batteries|348dec57-ad07-4336-837d-fd61eaefb1f2;#1357;#Selectiva 1020 1kW|51012d6f-5f07-4d31-8508-94bfbbddacb6;#1358;#Selectiva 1030 1kW|dcc06201-19d1-419c-b72b-803e9108ad12;#1583;#Battery charging systems for 24 V batteries|ec5e2a6c-7347-48a5-82e4-aa784414f12a;#1359;#Selectiva 2010 1kW|34f9dcd8-f60a-465f-a380-188295431206;#1360;#Selectiva 2015 1kW|f4f82eac-ea4e-488d-9590-02e07a12917b;#1361;#Selectiva 2020 1kW|79ff63a2-724e-4d7c-a0e5-43a4a3e3e7f9;#1362;#Selectiva 2032 1kW|1bc6679f-83e3-411b-891e-6bb3689fa0e9;#1363;#Selectiva 2040 1kW|f0a929f8-af5d-43ec-a271-88d8b63fbdba;#1548;#Selectiva 2040 2kW|1a6b3c34-692a-4362-9e14-32fac50012c7;#1549;#Selectiva 2050 2kW|d8780738-568e-4845-998b-f95df311e52c;#1550;#Selectiva 2060 2kW|25d221ea-1865-46f5-8f6d-bd1c947bea1d;#1551;#Selectiva 2070 2kW|229f550a-f79e-44f8-ac04-ece36b2c6737;#1574;#Selectiva 2080 3kW|4977a032-5c8a-40e2-94ad-0df50d0d4a8c;#1575;#Selectiva 2100 3kW|4d741437-e483-4791-aedb-54b4563306db;#1372;#Selectiva 2100 8kW|de7976a1-3d0b-44a2-a24f-ff602227867f;#1576;#Selectiva 2120 3kW|fdf793d9-bb15-4029-ac8b-145f33bcb36c;#1371;#Selectiva 2120 8kW|95007245-805a-4e90-82b7-23129512d5ff;#1370;#Selectiva 2140 8kW|8b027616-feaa-4f10-a5fa-b0951394f213;#1369;#Selectiva 2160 8kW|133572d0-b1f4-43db-993b-cb3aaa282e2b;#1368;#Selectiva 2180 8kW|2f392058-ca9a-48c1-8a57-731f2ba23e9a;#1367;#Selectiva 2200 8kW|448340c7-a36b-4ca3-b9c4-26d9a1ce6200;#1584;#Battery charging systems for 48 V / 36 V batteries|3ea234c1-d2be-48d7-a251-5059b04b58f9;#1552;#Selectiva 4020 2kW|38e78445-e9fe-4f35-923e-e854a02c209d;#1553;#Selectiva 4035 2kW|ccd92f07-d79e-46f3-83f1-22a59b32222e;#1577;#Selectiva 4045 3kW|7d860650-3cb5-4fb6-b0de-97b4fe595838;#1405;#Selectiva 4060 3kW|04357e35-bc55-44d8-995d-77b7d5f7550b;#1373;#Selectiva 4060 8kW|b7d6fecd-ca12-447c-98ed-436cc55d1e8e;#1374;#Selectiva 4075 8kW|ca60c490-a4c3-4578-b33e-950741c6fe68;#1375;#Selectiva 4090 8kW|d046da6a-3114-45f5-9c39-69beaf93b616;#1376;#Selectiva 4120 8kW|7413e264-d1ed-42d6-b794-b7f548a11b03;#1377;#Selectiva 4140 8kW|8ec4e63f-e0a9-43b2-97ba-47cd030bb598;#1378;#Selectiva 4160 8kW|a9a718f0-3acb-44d1-b88b-a02cc14d7862;#1379;#Battery charging systems for 80 V / 72 V batteries|49740548-53a0-483e-86fd-f5b616c465e5;#1380;#Selectiva 8040 8kW|dccd1da2-a374-4a4c-b6d1-b7e2af7fa1e5;#1381;#Selectiva 8060 8kW|4f0326f5-3268-4573-aa61-1cbf02562ac8;#1382;#Selectiva 8075 8kW|2172709f-078d-46d0-9beb-284d67aacf14;#1383;#Selectiva 8090 8kW|3848ae9a-1ac0-40fb-b96c-0ab86ba52901;#1384;#Selectiva 8120 16kW|7413c502-8844-4ffa-9d7b-648390594dc6;#1385;#Selectiva 8140 16kW|fd963123-6264-42b2-8a19-78cbde593322;#1386;#Selectiva 8160 16kW|08385699-128c-4948-ad29-219e4cb6e474;#1387;#Selectiva 8180 16kW|5288d967-a803-423b-87c8-9b96f7349881</vt:lpwstr>
  </property>
  <property fmtid="{D5CDD505-2E9C-101B-9397-08002B2CF9AE}" pid="5" name="Language">
    <vt:lpwstr>252;#EN|71e5a4f0-0757-4fab-a12c-3089e9946ab2</vt:lpwstr>
  </property>
  <property fmtid="{D5CDD505-2E9C-101B-9397-08002B2CF9AE}" pid="6" name="WorkflowChangePath">
    <vt:lpwstr>e53de0f5-a162-4f09-b6ec-851888dcaec5,5;e53de0f5-a162-4f09-b6ec-851888dcaec5,5;b69ea16d-7268-4bb3-b6cd-ba54a1757e6d,59;154006d3-1d9c-4acc-bd84-2a12ad2995b5,62;dbb760c5-0e44-42ae-bdad-f380b5b0ae18,72;dbb760c5-0e44-42ae-bdad-f380b5b0ae18,76;c80f11f8-dba1-4471-9214-1fc3c8ef4990,82;d7515ef2-e017-40f0-8647-24fd356da799,88;d7515ef2-e017-40f0-8647-24fd356da799,88;4adbe04e-5f8c-484b-b047-d4877a3c519e,94;</vt:lpwstr>
  </property>
  <property fmtid="{D5CDD505-2E9C-101B-9397-08002B2CF9AE}" pid="7" name="_docset_NoMedatataSyncRequired">
    <vt:lpwstr>False</vt:lpwstr>
  </property>
  <property fmtid="{D5CDD505-2E9C-101B-9397-08002B2CF9AE}" pid="8" name="Documenttype_NB">
    <vt:lpwstr>Presseinformasjon</vt:lpwstr>
  </property>
  <property fmtid="{D5CDD505-2E9C-101B-9397-08002B2CF9AE}" pid="9" name="DisableEventReceiver">
    <vt:bool>false</vt:bool>
  </property>
  <property fmtid="{D5CDD505-2E9C-101B-9397-08002B2CF9AE}" pid="10" name="Permission">
    <vt:lpwstr>Public</vt:lpwstr>
  </property>
  <property fmtid="{D5CDD505-2E9C-101B-9397-08002B2CF9AE}" pid="11" name="Web Display Title SV">
    <vt:lpwstr>Reference AMAG Austria Metall</vt:lpwstr>
  </property>
  <property fmtid="{D5CDD505-2E9C-101B-9397-08002B2CF9AE}" pid="12" name="Service Levels TIM-RS">
    <vt:lpwstr/>
  </property>
</Properties>
</file>